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7456" w:rsidRDefault="007B7456" w:rsidP="00EE6196">
      <w:pPr>
        <w:pStyle w:val="Title"/>
        <w:ind w:right="-279"/>
        <w:rPr>
          <w:color w:val="393F58"/>
          <w:sz w:val="24"/>
          <w:szCs w:val="24"/>
        </w:rPr>
      </w:pPr>
    </w:p>
    <w:p w14:paraId="00000002"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highlight w:val="yellow"/>
        </w:rPr>
      </w:pPr>
    </w:p>
    <w:p w14:paraId="0000000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p>
    <w:p w14:paraId="00000004"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Data Processing Agreement</w:t>
      </w:r>
    </w:p>
    <w:p w14:paraId="0000000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06"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between</w:t>
      </w:r>
    </w:p>
    <w:p w14:paraId="00000007"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08" w14:textId="258B6BB7" w:rsidR="007B7456" w:rsidRPr="007A039E" w:rsidRDefault="00000000" w:rsidP="007A039E">
      <w:pPr>
        <w:pStyle w:val="NoSpacing"/>
        <w:jc w:val="center"/>
        <w:rPr>
          <w:rFonts w:ascii="Courier New" w:hAnsi="Courier New" w:cs="Courier New"/>
          <w:b/>
          <w:bCs/>
        </w:rPr>
      </w:pPr>
      <w:sdt>
        <w:sdtPr>
          <w:tag w:val="goog_rdk_0"/>
          <w:id w:val="529069416"/>
        </w:sdtPr>
        <w:sdtContent/>
      </w:sdt>
      <w:r w:rsidR="000862A7">
        <w:rPr>
          <w:rFonts w:ascii="Courier New" w:hAnsi="Courier New" w:cs="Courier New"/>
          <w:b/>
          <w:bCs/>
        </w:rPr>
        <w:fldChar w:fldCharType="begin"/>
      </w:r>
      <w:r w:rsidR="000862A7">
        <w:rPr>
          <w:rFonts w:ascii="Courier New" w:hAnsi="Courier New" w:cs="Courier New"/>
          <w:b/>
          <w:bCs/>
        </w:rPr>
        <w:instrText xml:space="preserve"> MERGEFIELD  name  \* MERGEFORMAT </w:instrText>
      </w:r>
      <w:r w:rsidR="000862A7">
        <w:rPr>
          <w:rFonts w:ascii="Courier New" w:hAnsi="Courier New" w:cs="Courier New"/>
          <w:b/>
          <w:bCs/>
        </w:rPr>
        <w:fldChar w:fldCharType="separate"/>
      </w:r>
      <w:r w:rsidR="00F424F0">
        <w:rPr>
          <w:rFonts w:ascii="Courier New" w:hAnsi="Courier New" w:cs="Courier New"/>
          <w:b/>
          <w:bCs/>
          <w:noProof/>
        </w:rPr>
        <w:t>«name»</w:t>
      </w:r>
      <w:r w:rsidR="000862A7">
        <w:rPr>
          <w:rFonts w:ascii="Courier New" w:hAnsi="Courier New" w:cs="Courier New"/>
          <w:b/>
          <w:bCs/>
        </w:rPr>
        <w:fldChar w:fldCharType="end"/>
      </w:r>
    </w:p>
    <w:p w14:paraId="00000009"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p>
    <w:p w14:paraId="0000000A" w14:textId="77777777" w:rsidR="007B7456" w:rsidRDefault="00AD79BB" w:rsidP="007A039E">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as Controller (hereinafter “</w:t>
      </w:r>
      <w:r>
        <w:rPr>
          <w:rFonts w:ascii="Open Sans" w:eastAsia="Open Sans" w:hAnsi="Open Sans" w:cs="Open Sans"/>
          <w:b/>
          <w:color w:val="393F58"/>
        </w:rPr>
        <w:t>Controller</w:t>
      </w:r>
      <w:r>
        <w:rPr>
          <w:rFonts w:ascii="Open Sans" w:eastAsia="Open Sans" w:hAnsi="Open Sans" w:cs="Open Sans"/>
          <w:color w:val="393F58"/>
        </w:rPr>
        <w:t>“),</w:t>
      </w:r>
    </w:p>
    <w:p w14:paraId="0000000B"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0C"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and</w:t>
      </w:r>
    </w:p>
    <w:p w14:paraId="0000000D"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0E"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Mediclinic Software Germany GmbH, Schönhauser Allee 163, 10435 Berlin</w:t>
      </w:r>
    </w:p>
    <w:p w14:paraId="0000000F"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p>
    <w:p w14:paraId="00000010" w14:textId="77777777" w:rsidR="007B7456" w:rsidRDefault="00AD79BB" w:rsidP="009C5243">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as Data Processor (hereinafter „</w:t>
      </w:r>
      <w:r>
        <w:rPr>
          <w:rFonts w:ascii="Open Sans" w:eastAsia="Open Sans" w:hAnsi="Open Sans" w:cs="Open Sans"/>
          <w:b/>
          <w:color w:val="393F58"/>
        </w:rPr>
        <w:t>Data Processor</w:t>
      </w:r>
      <w:r>
        <w:rPr>
          <w:rFonts w:ascii="Open Sans" w:eastAsia="Open Sans" w:hAnsi="Open Sans" w:cs="Open Sans"/>
          <w:color w:val="393F58"/>
        </w:rPr>
        <w:t>“,</w:t>
      </w:r>
    </w:p>
    <w:p w14:paraId="00000011" w14:textId="77777777" w:rsidR="007B7456" w:rsidRDefault="00AD79BB" w:rsidP="009C5243">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Controller and Data Processor jointly the “</w:t>
      </w:r>
      <w:r>
        <w:rPr>
          <w:rFonts w:ascii="Open Sans" w:eastAsia="Open Sans" w:hAnsi="Open Sans" w:cs="Open Sans"/>
          <w:b/>
          <w:color w:val="393F58"/>
        </w:rPr>
        <w:t>Parties</w:t>
      </w:r>
      <w:r>
        <w:rPr>
          <w:rFonts w:ascii="Open Sans" w:eastAsia="Open Sans" w:hAnsi="Open Sans" w:cs="Open Sans"/>
          <w:color w:val="393F58"/>
        </w:rPr>
        <w:t>”)</w:t>
      </w:r>
    </w:p>
    <w:p w14:paraId="00000012"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1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14"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Preamble</w:t>
      </w:r>
    </w:p>
    <w:p w14:paraId="00000015"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The Controller has commissioned the Data Processor in a contract already concluded (hereinafter referred to as the "</w:t>
      </w:r>
      <w:r>
        <w:rPr>
          <w:rFonts w:ascii="Open Sans" w:eastAsia="Open Sans" w:hAnsi="Open Sans" w:cs="Open Sans"/>
          <w:b/>
          <w:color w:val="393F58"/>
        </w:rPr>
        <w:t>Main Contract</w:t>
      </w:r>
      <w:r>
        <w:rPr>
          <w:rFonts w:ascii="Open Sans" w:eastAsia="Open Sans" w:hAnsi="Open Sans" w:cs="Open Sans"/>
          <w:color w:val="393F58"/>
        </w:rPr>
        <w:t xml:space="preserve">") for the services specified therein. Part of the execution of the contract is the processing of personal data. In particular, Art. 28 GDPR imposes specific requirements on such commissioned processing. To </w:t>
      </w:r>
      <w:r>
        <w:rPr>
          <w:rFonts w:ascii="Open Sans" w:eastAsia="Open Sans" w:hAnsi="Open Sans" w:cs="Open Sans"/>
          <w:color w:val="393F58"/>
        </w:rPr>
        <w:lastRenderedPageBreak/>
        <w:t>comply with these requirements, the Parties enter into the following Data Processing Agreement (hereinafter referred to as the “</w:t>
      </w:r>
      <w:r>
        <w:rPr>
          <w:rFonts w:ascii="Open Sans" w:eastAsia="Open Sans" w:hAnsi="Open Sans" w:cs="Open Sans"/>
          <w:b/>
          <w:color w:val="393F58"/>
        </w:rPr>
        <w:t>Agreement</w:t>
      </w:r>
      <w:r>
        <w:rPr>
          <w:rFonts w:ascii="Open Sans" w:eastAsia="Open Sans" w:hAnsi="Open Sans" w:cs="Open Sans"/>
          <w:color w:val="393F58"/>
        </w:rPr>
        <w:t>”), the performance of which shall not be remunerated separately unless expressly agreed.</w:t>
      </w:r>
    </w:p>
    <w:p w14:paraId="00000016"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17"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 Definitions</w:t>
      </w:r>
    </w:p>
    <w:p w14:paraId="00000018"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Pursuant to Art. 4 (7) GDPR, the Controller is the entity that alone or jointly with other Controllers determines the purposes and means of the processing of personal data.</w:t>
      </w:r>
    </w:p>
    <w:p w14:paraId="00000019" w14:textId="02AA8D6A"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Pursuant to Art. 4 (8) GDPR, a Data Processor is a natural or legal person, </w:t>
      </w:r>
      <w:r w:rsidR="00FC7F11">
        <w:rPr>
          <w:rFonts w:ascii="Open Sans" w:eastAsia="Open Sans" w:hAnsi="Open Sans" w:cs="Open Sans"/>
          <w:color w:val="393F58"/>
        </w:rPr>
        <w:t xml:space="preserve"> </w:t>
      </w:r>
      <w:r>
        <w:rPr>
          <w:rFonts w:ascii="Open Sans" w:eastAsia="Open Sans" w:hAnsi="Open Sans" w:cs="Open Sans"/>
          <w:color w:val="393F58"/>
        </w:rPr>
        <w:t>authority, institution, or other body that processes personal data on behalf of the Controller.</w:t>
      </w:r>
    </w:p>
    <w:p w14:paraId="0000001A"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Pursuant to Art. 4 (1) GDPR, personal data means any information relating to an identified or identifiable natural person (hereinafter "</w:t>
      </w:r>
      <w:r>
        <w:rPr>
          <w:rFonts w:ascii="Open Sans" w:eastAsia="Open Sans" w:hAnsi="Open Sans" w:cs="Open Sans"/>
          <w:b/>
          <w:color w:val="393F58"/>
        </w:rPr>
        <w:t>Data Subject</w:t>
      </w:r>
      <w:r>
        <w:rPr>
          <w:rFonts w:ascii="Open Sans" w:eastAsia="Open Sans" w:hAnsi="Open Sans" w:cs="Open Sans"/>
          <w:color w:val="393F58"/>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000001B"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Personal data requiring special protection are personal data pursuant to Art. 9 GDPR revealing racial or ethnic origin, political opinions, religious or philosophical beliefs or trade union membership of Data Subjects, personal data pursuant to Art. 10 GDPR on criminal convictions and criminal offenses or related security measures, as well as genetic data pursuant to Art. 4 (13) GDPR, biometric data pursuant to Art. 4 (14) GDPR, health data pursuant to Art. 4 (15) GDPR, and data on the sex life or sexual orientation of a natural person.</w:t>
      </w:r>
    </w:p>
    <w:p w14:paraId="0000001C"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(5) According to Article 4 (2) GDPR, the processing is any operation or set of operations that is performed upon personal data, whether or not by automatic means, such as collection, recording, organization, filing, storage, adaptation or alteration, retrieval, consultation, use, disclosure by transmission, dissemination or otherwise making available, alignment or combination, restriction, erasure or destruction.</w:t>
      </w:r>
    </w:p>
    <w:p w14:paraId="0000001D"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r>
        <w:rPr>
          <w:rFonts w:ascii="Open Sans" w:eastAsia="Open Sans" w:hAnsi="Open Sans" w:cs="Open Sans"/>
          <w:color w:val="393F58"/>
        </w:rPr>
        <w:lastRenderedPageBreak/>
        <w:t>(6) Pursuant to Article 4 (21) GDPR, the supervisory authority is an independent state body established by a Member State pursuant to Article 51 GDPR.</w:t>
      </w:r>
    </w:p>
    <w:p w14:paraId="0000001E"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1F"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2 Subject of the contract</w:t>
      </w:r>
    </w:p>
    <w:p w14:paraId="00000020"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The Data Processor provides the services specified in the Main Contract for the Controller. In doing so, the Data Processor obtains access to personal data, which the Data Processor processes for the Controller exclusively on behalf of and in accordance with the Controller's instructions. The scope and purpose of the data processing by the Data Processor are set out in the Main Contract and any associated service descriptions. The Controller shall be responsible for assessing the admissibility of the data processing.</w:t>
      </w:r>
    </w:p>
    <w:p w14:paraId="00000021"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Parties conclude the present Agreement to specify the mutual rights and obligations under data protection law. In case of doubt, the provisions of this Agreement shall take precedence over the provisions of the Main Contract.</w:t>
      </w:r>
    </w:p>
    <w:p w14:paraId="00000022"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The provisions of this contract shall apply to all activities related to the Main Contract in which the Data Processor and its employees or persons authorized by the Data Processor come into contact with personal data originating from the Controller or collected for the Controller.</w:t>
      </w:r>
    </w:p>
    <w:p w14:paraId="00000023"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The term of this Agreement shall be governed by the term of the Main Contract unless the following provisions give rise to further obligations or termination rights.</w:t>
      </w:r>
    </w:p>
    <w:p w14:paraId="0000002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25"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3 Right of instruction</w:t>
      </w:r>
    </w:p>
    <w:p w14:paraId="00000026"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The Data Processor may only collect, process or use data within the scope of the Main Contract and in accordance with the instructions of the Controller. If the Data Processor is required to carry out further processing by the law of the European Union or the Member States to which it is subject, it shall notify the Controller of these legal requirements prior to the processing.</w:t>
      </w:r>
    </w:p>
    <w:p w14:paraId="00000027"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The instructions of the Controller shall initially be determined by this Agreement. Thereafter, they may be amended, supplemented, or replaced by the Controller in writing or text form by individual instructions (Individual Instructions). The Controller </w:t>
      </w:r>
      <w:r>
        <w:rPr>
          <w:rFonts w:ascii="Open Sans" w:eastAsia="Open Sans" w:hAnsi="Open Sans" w:cs="Open Sans"/>
          <w:color w:val="393F58"/>
        </w:rPr>
        <w:lastRenderedPageBreak/>
        <w:t xml:space="preserve">shall be entitled to issue such instructions at any time. This includes instructions with regard to the correction, deletion, and blocking of data. </w:t>
      </w:r>
    </w:p>
    <w:p w14:paraId="00000028"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All instructions issued shall be documented by the Controller. Instructions that go beyond the service agreed in the Main Contract shall be treated as a request for a change in service.</w:t>
      </w:r>
    </w:p>
    <w:p w14:paraId="00000029"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If the Data Processor is of the opinion that an instruction of the Controller violates data protection provisions, it shall notify the Controller thereof without undue delay. The Data Processor shall be entitled to suspend the implementation of the relevant instruction until it is confirmed or amended by the Controller. The Data Processor may refuse to carry out an obviously unlawful instruction.</w:t>
      </w:r>
    </w:p>
    <w:p w14:paraId="0000002A"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2B"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4 Types of data processed, group of Data Subjects, third country</w:t>
      </w:r>
    </w:p>
    <w:p w14:paraId="0000002C"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(1) Within the scope of the implementation of the Main Contract, the Data Processor shall have access to the personal data specified in more detail in </w:t>
      </w:r>
      <w:r>
        <w:rPr>
          <w:rFonts w:ascii="Open Sans" w:eastAsia="Open Sans" w:hAnsi="Open Sans" w:cs="Open Sans"/>
          <w:b/>
          <w:color w:val="393F58"/>
        </w:rPr>
        <w:t>Annex 1</w:t>
      </w:r>
      <w:r>
        <w:rPr>
          <w:rFonts w:ascii="Open Sans" w:eastAsia="Open Sans" w:hAnsi="Open Sans" w:cs="Open Sans"/>
          <w:color w:val="393F58"/>
        </w:rPr>
        <w:t xml:space="preserve">. </w:t>
      </w:r>
    </w:p>
    <w:p w14:paraId="0000002D"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The group of Data Subjects affected by the data processing is listed in </w:t>
      </w:r>
      <w:r>
        <w:rPr>
          <w:rFonts w:ascii="Open Sans" w:eastAsia="Open Sans" w:hAnsi="Open Sans" w:cs="Open Sans"/>
          <w:b/>
          <w:color w:val="393F58"/>
        </w:rPr>
        <w:t>Annex 2</w:t>
      </w:r>
      <w:r>
        <w:rPr>
          <w:rFonts w:ascii="Open Sans" w:eastAsia="Open Sans" w:hAnsi="Open Sans" w:cs="Open Sans"/>
          <w:color w:val="393F58"/>
        </w:rPr>
        <w:t>.</w:t>
      </w:r>
    </w:p>
    <w:p w14:paraId="0000002E"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A transfer of personal data to a third country may only take place under the conditions of Art. 44 et seq. GDPR.</w:t>
      </w:r>
    </w:p>
    <w:p w14:paraId="0000002F"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30"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5 Protective measures of the Data Processor</w:t>
      </w:r>
    </w:p>
    <w:p w14:paraId="00000031"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The Data Processor shall be obliged to observe the statutory provisions on data protection and not to disclose information obtained from the Controller's domain to third parties or expose it to their access. Documents and data shall be secured against disclosure to unauthorized persons, taking into account the state of the art.</w:t>
      </w:r>
    </w:p>
    <w:p w14:paraId="00000032"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The Data Processor shall organize the internal organization within its field of responsibility in such a way that it meets the special requirements of data protection. It shall have taken the technical and organizational measures specified in </w:t>
      </w:r>
      <w:r>
        <w:rPr>
          <w:rFonts w:ascii="Open Sans" w:eastAsia="Open Sans" w:hAnsi="Open Sans" w:cs="Open Sans"/>
          <w:b/>
          <w:color w:val="393F58"/>
        </w:rPr>
        <w:t>Annex 3</w:t>
      </w:r>
      <w:r>
        <w:rPr>
          <w:rFonts w:ascii="Open Sans" w:eastAsia="Open Sans" w:hAnsi="Open Sans" w:cs="Open Sans"/>
          <w:color w:val="393F58"/>
        </w:rPr>
        <w:t xml:space="preserve"> to adequately protect the Controller's data pursuant to Art. 32 GDPR, which the Controller acknowledges as adequate. The Data Processor reserves the right to change the security measures taken while ensuring that the contractually agreed level of protection is not undercut.</w:t>
      </w:r>
    </w:p>
    <w:p w14:paraId="00000033"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(3) The persons employed in the data processing by the Data Processor are prohibited from collecting, processing or using personal data without authorization. The Data Processor shall oblige all persons entrusted by it with the processing and performance of this contract (hereinafter "</w:t>
      </w:r>
      <w:r>
        <w:rPr>
          <w:rFonts w:ascii="Open Sans" w:eastAsia="Open Sans" w:hAnsi="Open Sans" w:cs="Open Sans"/>
          <w:b/>
          <w:color w:val="393F58"/>
        </w:rPr>
        <w:t>Employees</w:t>
      </w:r>
      <w:r>
        <w:rPr>
          <w:rFonts w:ascii="Open Sans" w:eastAsia="Open Sans" w:hAnsi="Open Sans" w:cs="Open Sans"/>
          <w:color w:val="393F58"/>
        </w:rPr>
        <w:t>") accordingly (obligation of confidentiality, Art. 28 (3) lit. b GDPR) and shall ensure compliance with this obligation with due care.</w:t>
      </w:r>
    </w:p>
    <w:p w14:paraId="00000034"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(4) The Data Processor has appointed a data protection officer. The Data Processor’s data protection officer is </w:t>
      </w:r>
      <w:proofErr w:type="spellStart"/>
      <w:r>
        <w:rPr>
          <w:rFonts w:ascii="Open Sans" w:eastAsia="Open Sans" w:hAnsi="Open Sans" w:cs="Open Sans"/>
          <w:color w:val="393F58"/>
        </w:rPr>
        <w:t>heyData</w:t>
      </w:r>
      <w:proofErr w:type="spellEnd"/>
      <w:r>
        <w:rPr>
          <w:rFonts w:ascii="Open Sans" w:eastAsia="Open Sans" w:hAnsi="Open Sans" w:cs="Open Sans"/>
          <w:color w:val="393F58"/>
        </w:rPr>
        <w:t xml:space="preserve"> GmbH, </w:t>
      </w:r>
      <w:proofErr w:type="spellStart"/>
      <w:r>
        <w:rPr>
          <w:rFonts w:ascii="Open Sans" w:eastAsia="Open Sans" w:hAnsi="Open Sans" w:cs="Open Sans"/>
          <w:color w:val="393F58"/>
        </w:rPr>
        <w:t>Kantstr</w:t>
      </w:r>
      <w:proofErr w:type="spellEnd"/>
      <w:r>
        <w:rPr>
          <w:rFonts w:ascii="Open Sans" w:eastAsia="Open Sans" w:hAnsi="Open Sans" w:cs="Open Sans"/>
          <w:color w:val="393F58"/>
        </w:rPr>
        <w:t xml:space="preserve">.  99, 10627 Berlin, datenschutz@heydata.eu, </w:t>
      </w:r>
      <w:hyperlink r:id="rId9">
        <w:r>
          <w:rPr>
            <w:rFonts w:ascii="Open Sans" w:eastAsia="Open Sans" w:hAnsi="Open Sans" w:cs="Open Sans"/>
            <w:color w:val="1155CC"/>
            <w:u w:val="single"/>
          </w:rPr>
          <w:t>www.heydata.eu</w:t>
        </w:r>
      </w:hyperlink>
      <w:r>
        <w:rPr>
          <w:rFonts w:ascii="Open Sans" w:eastAsia="Open Sans" w:hAnsi="Open Sans" w:cs="Open Sans"/>
          <w:color w:val="393F58"/>
        </w:rPr>
        <w:t xml:space="preserve">. </w:t>
      </w:r>
    </w:p>
    <w:p w14:paraId="0000003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36"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6 Information obligations of the Data Processor</w:t>
      </w:r>
    </w:p>
    <w:p w14:paraId="00000037"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In the event of disruptions, suspected data protection violations or breaches of contractual obligations of the Data Processor, suspected security-related incidents or other irregularities in the processing of personal data by the Data Processor, by persons employed by it within the scope of the contract or by third parties, the Data Processor shall inform the Controller without undue delay. The same shall apply to audits of the Data Processor by the data protection supervisory authority. The notification of a personal data breach shall contain at least the following information:</w:t>
      </w:r>
    </w:p>
    <w:p w14:paraId="00000038" w14:textId="77777777" w:rsidR="007B7456" w:rsidRDefault="00AD79BB">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(a) a description of the nature of the personal data breach, including, to the extent possible, the categories and the number of Data Subjects affected, the categories affected and the number of personal data records affected;</w:t>
      </w:r>
    </w:p>
    <w:p w14:paraId="00000039" w14:textId="77777777" w:rsidR="007B7456" w:rsidRDefault="00AD79BB">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(b) a description of the measures taken or proposed by the Data Processor to address the breach and, where applicable, measures to mitigate its possible adverse effects;</w:t>
      </w:r>
    </w:p>
    <w:p w14:paraId="0000003A" w14:textId="77777777" w:rsidR="007B7456" w:rsidRDefault="00AD79BB">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(c) a description of the likely consequences of the personal data breach.</w:t>
      </w:r>
    </w:p>
    <w:p w14:paraId="0000003B"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Data Processor shall immediately take the necessary measures to secure the data and to mitigate any possible adverse consequences for the Data Subjects, inform the Controller thereof and request further instructions.</w:t>
      </w:r>
    </w:p>
    <w:p w14:paraId="0000003C"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(3) In addition, the Data Processor shall be obliged to provide the Controller with information at any time insofar as the Controller's data are affected by a breach pursuant to paragraph 1.</w:t>
      </w:r>
    </w:p>
    <w:p w14:paraId="0000003D"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The Data Processor shall inform the Controller of any significant changes to the security measures pursuant to Section 5 (2).</w:t>
      </w:r>
    </w:p>
    <w:p w14:paraId="0000003E"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p>
    <w:p w14:paraId="0000003F"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7 Control rights of the Controller</w:t>
      </w:r>
    </w:p>
    <w:p w14:paraId="00000040"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The Controller may satisfy itself of the technical and organizational measures of the Data Processor prior to the commencement of data processing and thereafter regularly on a yearly basis. For this purpose, the Controller may, for example, obtain information from the Data Processor, obtain existing certificates from experts, certifications or internal audits or, after timely coordination, personally inspect the technical and organizational measures of the Data Processor during normal business hours or have them inspected by a competent third party, provided that the third party is not in a competitive relationship with the Data Processor. The Controller shall carry out checks only to the extent necessary and shall not disproportionately disrupt the operations of the Data Processor in the process.</w:t>
      </w:r>
    </w:p>
    <w:p w14:paraId="00000041"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Data Processor undertakes to provide the Controller, upon the latter's verbal or written request and within a reasonable period of time, with all information and evidence required to carry out a check of the technical and organizational measures of the Data Processor.</w:t>
      </w:r>
    </w:p>
    <w:p w14:paraId="00000042"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The Controller shall document the results of the inspection and notify the Data Processor thereof. In the event of errors or irregularities which the Controller discovers, in particular during the inspection of the results of the inspection, the Controller shall inform the Data Processor without undue delay. If facts are found during the control, the future avoidance of which requires changes to the ordered procedure, the Controller shall notify the Data Processor of the necessary procedural changes without delay.</w:t>
      </w:r>
    </w:p>
    <w:p w14:paraId="0000004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44"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8 Use of service providers</w:t>
      </w:r>
    </w:p>
    <w:p w14:paraId="00000045"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 xml:space="preserve">(1) The contractually agreed services shall be performed with the involvement of the service providers named in </w:t>
      </w:r>
      <w:r>
        <w:rPr>
          <w:rFonts w:ascii="Open Sans" w:eastAsia="Open Sans" w:hAnsi="Open Sans" w:cs="Open Sans"/>
          <w:b/>
          <w:color w:val="393F58"/>
        </w:rPr>
        <w:t xml:space="preserve">Annex 4 </w:t>
      </w:r>
      <w:r>
        <w:rPr>
          <w:rFonts w:ascii="Open Sans" w:eastAsia="Open Sans" w:hAnsi="Open Sans" w:cs="Open Sans"/>
          <w:color w:val="393F58"/>
        </w:rPr>
        <w:t>(hereinafter “</w:t>
      </w:r>
      <w:r>
        <w:rPr>
          <w:rFonts w:ascii="Open Sans" w:eastAsia="Open Sans" w:hAnsi="Open Sans" w:cs="Open Sans"/>
          <w:b/>
          <w:color w:val="393F58"/>
        </w:rPr>
        <w:t>Sub-processors</w:t>
      </w:r>
      <w:r>
        <w:rPr>
          <w:rFonts w:ascii="Open Sans" w:eastAsia="Open Sans" w:hAnsi="Open Sans" w:cs="Open Sans"/>
          <w:color w:val="393F58"/>
        </w:rPr>
        <w:t>”). The Controller grants the Data Processor its general authorization within the meaning of Article 28 (2) s. 1 GDPR to engage additional Sub-processors within the scope of its contractual obligations or to replace Sub-processors already engaged.</w:t>
      </w:r>
    </w:p>
    <w:p w14:paraId="00000046" w14:textId="1F07FBD7" w:rsidR="007B7456" w:rsidRPr="00E50511"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sdt>
        <w:sdtPr>
          <w:tag w:val="goog_rdk_1"/>
          <w:id w:val="-1484377643"/>
          <w:showingPlcHdr/>
        </w:sdtPr>
        <w:sdtContent>
          <w:r w:rsidR="00E50511" w:rsidRPr="00E50511">
            <w:t xml:space="preserve">     </w:t>
          </w:r>
          <w:commentRangeStart w:id="0"/>
        </w:sdtContent>
      </w:sdt>
      <w:r w:rsidR="00AD79BB" w:rsidRPr="00E50511">
        <w:rPr>
          <w:rFonts w:ascii="Open Sans" w:eastAsia="Open Sans" w:hAnsi="Open Sans" w:cs="Open Sans"/>
          <w:color w:val="393F58"/>
        </w:rPr>
        <w:t>Option 1:</w:t>
      </w:r>
    </w:p>
    <w:p w14:paraId="00000047" w14:textId="765BD873" w:rsidR="007B7456" w:rsidRPr="00E50511"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(2) The Data Processor shall inform the Controller in advance by e-mail newsletter of any intended change regarding the involvement or replacement of a Sub-processor. The email newsletter will be received by the Controller after sending an email with the subject "Subscribe" to</w:t>
      </w:r>
      <w:r w:rsidR="00E50511" w:rsidRPr="00E50511">
        <w:rPr>
          <w:rFonts w:ascii="Open Sans" w:eastAsia="Open Sans" w:hAnsi="Open Sans" w:cs="Open Sans"/>
          <w:color w:val="393F58"/>
        </w:rPr>
        <w:t xml:space="preserve"> </w:t>
      </w:r>
      <w:commentRangeStart w:id="1"/>
      <w:commentRangeEnd w:id="1"/>
      <w:r w:rsidRPr="00E50511">
        <w:commentReference w:id="1"/>
      </w:r>
      <w:r w:rsidR="00E50511" w:rsidRPr="00E50511">
        <w:t>info@mediclinicsoftware.de</w:t>
      </w:r>
      <w:r w:rsidRPr="00E50511">
        <w:rPr>
          <w:rFonts w:ascii="Open Sans" w:eastAsia="Open Sans" w:hAnsi="Open Sans" w:cs="Open Sans"/>
          <w:color w:val="393F58"/>
        </w:rPr>
        <w:t>. The Controller may object to an intended enlistment or substitution of a Sub-processor for good cause under data protection law.</w:t>
      </w:r>
    </w:p>
    <w:p w14:paraId="00000048" w14:textId="10552C1E"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(3) The objection to the intended involvement or replacement of a Sub-processor must be raised within 2 weeks of the information being sent in the email newsletter. If no objection is raised, the involvement or replacement shall be deemed approved. If there is a good cause under data protection law and a mutually agreeable solution cannot be found between the Controller and Data Processor, the Data Processor shall have a special right of termination at the end of the month following the objection.</w:t>
      </w:r>
      <w:commentRangeEnd w:id="0"/>
      <w:r w:rsidRPr="00E50511">
        <w:commentReference w:id="0"/>
      </w:r>
    </w:p>
    <w:p w14:paraId="00000049" w14:textId="77777777" w:rsidR="007B7456" w:rsidRPr="00E50511"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Option 2:</w:t>
      </w:r>
    </w:p>
    <w:p w14:paraId="0000004A"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Data Processor shall inform the Controller before any intended change in relation to the involvement or replacement of a Sub-processor. The Controller can object to the intended involvement or replacement of a Sub-processor for an important reason under data protection law.</w:t>
      </w:r>
    </w:p>
    <w:p w14:paraId="0000004B"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The objection to the intended involvement or replacement of a Sub-processor must be raised within 2 weeks of receiving the information about the change. If no objection is raised, the involvement or replacement shall be deemed approved. If there is an important reason under data protection law and an amicable solution is not possible between the Controller and the Processor, the Controller has a special right of termination at the end of the month following the objection.</w:t>
      </w:r>
    </w:p>
    <w:p w14:paraId="0000004C" w14:textId="77777777" w:rsidR="007B7456" w:rsidRPr="00E50511"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End of the options</w:t>
      </w:r>
    </w:p>
    <w:p w14:paraId="0000004D"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 xml:space="preserve">(4) When engaging Sub-processors, the Data Processor shall oblige them in accordance with the provisions of this Agreement. </w:t>
      </w:r>
    </w:p>
    <w:p w14:paraId="0000004E"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(5) A Sub-processor relationship within the meaning of these provisions does not exist if the Data Processor commissions third parties with services that are regarded as purely ancillary services. These include, for example, postal, transport and shipping services, cleaning services, telecommunications services without any specific reference to services provided by the Data Processor to the Controller and guarding services. Maintenance and testing services constitute Sub-processor relationships requiring consent insofar as they are provided for IT systems that are also used in connection with the provision of services for the Controller.</w:t>
      </w:r>
    </w:p>
    <w:p w14:paraId="0000004F"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50"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9 Requests and rights of Data Subjects</w:t>
      </w:r>
    </w:p>
    <w:p w14:paraId="00000051"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The Data Processor shall support the Controller with suitable technical and organizational measures in fulfilling the Controller's obligations pursuant to Articles 12-22 and 32 to 36 GDPR.</w:t>
      </w:r>
    </w:p>
    <w:p w14:paraId="00000052"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If a Data Subject asserts rights, such as the right of access, correction or deletion with regard to his or her data, directly against the Data Processor, the latter shall not react independently but shall refer the Data Subject to the Controller and await the Controller's instructions.</w:t>
      </w:r>
    </w:p>
    <w:p w14:paraId="0000005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54"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 10 Liability</w:t>
      </w:r>
    </w:p>
    <w:p w14:paraId="00000055"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In the internal relationship with the Data Processor, the Controller alone shall be liable to the Data Subject for compensation for damage suffered by a Data Subject due to inadmissible or incorrect data processing under data protection laws or use within the scope of the commissioned processing.</w:t>
      </w:r>
    </w:p>
    <w:p w14:paraId="00000056"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Data Processor shall have unlimited liability for damage insofar as the cause of the damage is based on an intentional or grossly negligent breach of duty by the Data Processor, its legal representative or vicarious agent.</w:t>
      </w:r>
    </w:p>
    <w:p w14:paraId="00000057"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(3) The Data Processor shall only be liable for negligent conduct in the event of a breach of an obligation, the fulfillment of which is a prerequisite for the proper </w:t>
      </w:r>
      <w:r>
        <w:rPr>
          <w:rFonts w:ascii="Open Sans" w:eastAsia="Open Sans" w:hAnsi="Open Sans" w:cs="Open Sans"/>
          <w:color w:val="393F58"/>
        </w:rPr>
        <w:lastRenderedPageBreak/>
        <w:t>performance of the contract and the observance of which the Controller regularly relies on and may rely on, but limited to the average damage typical for the contract. In all other respects, the liability of the Processor - including for its vicarious agents - shall be excluded.</w:t>
      </w:r>
    </w:p>
    <w:p w14:paraId="00000058"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The limitation of liability pursuant to § 10.3 shall not apply to claims for damages arising from injury to life, body, health or from the assumption of a guarantee.</w:t>
      </w:r>
    </w:p>
    <w:p w14:paraId="00000059"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5A"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11 Termination of the Main Contract</w:t>
      </w:r>
    </w:p>
    <w:p w14:paraId="0000005B"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After termination of the Main Contract, the Data Processor shall return to the Controller all documents, data and data carriers provided to it or - at the request of the Controller, unless there is an obligation to store the personal data under Union law or the law of the Federal Republic of Germany - delete them. This shall also apply to any data backups at the Data Processor. The Data Processor shall on request provide documented proof of the proper deletion of any data.</w:t>
      </w:r>
    </w:p>
    <w:p w14:paraId="0000005C"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The Controller shall have the right to control the complete and contractual return or deletion of the data at the Data Processor in an appropriate manner.</w:t>
      </w:r>
    </w:p>
    <w:p w14:paraId="0000005D"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The Data Processor shall be obligated to keep confidential the data of which it has become aware in connection with the Main Contract even beyond the end of the Main Contract. The present Agreement shall remain valid beyond the end of the Main Contract as long as the Data Processor has personal data at its disposal which have been forwarded to it by the Controller or which it has collected for the Controller.</w:t>
      </w:r>
    </w:p>
    <w:p w14:paraId="0000005E"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5F"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12 Final provisions</w:t>
      </w:r>
    </w:p>
    <w:p w14:paraId="00000060"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To the extent that the Data Processor does not expressly perform support actions under this Agreement free of charge, it may charge the Controller a reasonable fee therefore, unless the Data Processor's own actions or omissions have made such support directly necessary.</w:t>
      </w:r>
    </w:p>
    <w:p w14:paraId="00000061"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Amendments and supplements to this Agreement must be made in writing. This shall also apply to any waiver of this formal requirement. The priority of individual contractual agreements shall remain unaffected.</w:t>
      </w:r>
    </w:p>
    <w:p w14:paraId="00000062"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(3) If individual provisions of this Agreement are or become wholly or partially invalid or unenforceable, this shall not affect the validity of the remaining provisions.</w:t>
      </w:r>
    </w:p>
    <w:p w14:paraId="00000063" w14:textId="77777777" w:rsidR="007B7456" w:rsidRDefault="00AD79BB">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This agreement is subject to German law.</w:t>
      </w:r>
    </w:p>
    <w:p w14:paraId="0000006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6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66"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jc w:val="both"/>
        <w:rPr>
          <w:rFonts w:ascii="Open Sans" w:eastAsia="Open Sans" w:hAnsi="Open Sans" w:cs="Open Sans"/>
          <w:b/>
          <w:color w:val="393F58"/>
        </w:rPr>
      </w:pPr>
      <w:r>
        <w:rPr>
          <w:rFonts w:ascii="Open Sans" w:eastAsia="Open Sans" w:hAnsi="Open Sans" w:cs="Open Sans"/>
          <w:b/>
          <w:color w:val="393F58"/>
        </w:rPr>
        <w:t>Controller</w:t>
      </w:r>
    </w:p>
    <w:p w14:paraId="00000067"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Name: _____________________________________</w:t>
      </w:r>
    </w:p>
    <w:p w14:paraId="00000068"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Position: ___________________________________</w:t>
      </w:r>
    </w:p>
    <w:p w14:paraId="00000069"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Date:  _____________________________________</w:t>
      </w:r>
    </w:p>
    <w:p w14:paraId="0000006A"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Signature: _________________________________</w:t>
      </w:r>
    </w:p>
    <w:p w14:paraId="0000006B" w14:textId="77777777" w:rsidR="007B7456" w:rsidRDefault="007B7456">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p>
    <w:p w14:paraId="0000006C"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b/>
          <w:color w:val="393F58"/>
        </w:rPr>
      </w:pPr>
      <w:r>
        <w:rPr>
          <w:rFonts w:ascii="Open Sans" w:eastAsia="Open Sans" w:hAnsi="Open Sans" w:cs="Open Sans"/>
          <w:b/>
          <w:color w:val="393F58"/>
        </w:rPr>
        <w:t>Data Processor</w:t>
      </w:r>
    </w:p>
    <w:p w14:paraId="0000006D" w14:textId="7074E6AB" w:rsidR="007B7456" w:rsidRPr="00E50511"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Name: </w:t>
      </w:r>
      <w:r w:rsidR="00E50511">
        <w:rPr>
          <w:rFonts w:ascii="Open Sans" w:eastAsia="Open Sans" w:hAnsi="Open Sans" w:cs="Open Sans"/>
          <w:color w:val="393F58"/>
        </w:rPr>
        <w:t xml:space="preserve">Marcus </w:t>
      </w:r>
      <w:proofErr w:type="spellStart"/>
      <w:r w:rsidR="00E50511">
        <w:rPr>
          <w:rFonts w:ascii="Open Sans" w:eastAsia="Open Sans" w:hAnsi="Open Sans" w:cs="Open Sans"/>
          <w:color w:val="393F58"/>
        </w:rPr>
        <w:t>Doille</w:t>
      </w:r>
      <w:proofErr w:type="spellEnd"/>
    </w:p>
    <w:p w14:paraId="0000006E" w14:textId="37E36862" w:rsidR="007B7456" w:rsidRPr="00E50511"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Position: </w:t>
      </w:r>
      <w:r w:rsidR="00E50511">
        <w:rPr>
          <w:rFonts w:ascii="Open Sans" w:eastAsia="Open Sans" w:hAnsi="Open Sans" w:cs="Open Sans"/>
          <w:color w:val="393F58"/>
        </w:rPr>
        <w:t xml:space="preserve">Chief Executive </w:t>
      </w:r>
      <w:proofErr w:type="spellStart"/>
      <w:r w:rsidR="00E50511">
        <w:rPr>
          <w:rFonts w:ascii="Open Sans" w:eastAsia="Open Sans" w:hAnsi="Open Sans" w:cs="Open Sans"/>
          <w:color w:val="393F58"/>
        </w:rPr>
        <w:t>Oficer</w:t>
      </w:r>
      <w:proofErr w:type="spellEnd"/>
    </w:p>
    <w:p w14:paraId="0000006F" w14:textId="558555B3" w:rsidR="007B7456" w:rsidRPr="00E50511"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Date: </w:t>
      </w:r>
      <w:r w:rsidR="00E50511">
        <w:rPr>
          <w:rFonts w:ascii="Open Sans" w:eastAsia="Open Sans" w:hAnsi="Open Sans" w:cs="Open Sans"/>
          <w:color w:val="393F58"/>
        </w:rPr>
        <w:t>1 March 2023</w:t>
      </w:r>
    </w:p>
    <w:p w14:paraId="00000070" w14:textId="077B550F" w:rsidR="007B7456" w:rsidRDefault="00AD79BB">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Signature: </w:t>
      </w:r>
      <w:r>
        <w:br w:type="page"/>
      </w:r>
    </w:p>
    <w:p w14:paraId="00000071" w14:textId="77777777" w:rsidR="007B7456" w:rsidRDefault="00AD79BB">
      <w:pPr>
        <w:pBdr>
          <w:top w:val="none" w:sz="0" w:space="0" w:color="000000"/>
          <w:left w:val="none" w:sz="0" w:space="0" w:color="000000"/>
          <w:bottom w:val="none" w:sz="0" w:space="0" w:color="000000"/>
          <w:right w:val="none" w:sz="0" w:space="0" w:color="000000"/>
        </w:pBdr>
        <w:spacing w:before="120" w:after="120" w:line="276" w:lineRule="auto"/>
        <w:jc w:val="center"/>
        <w:rPr>
          <w:rFonts w:ascii="Open Sans" w:eastAsia="Open Sans" w:hAnsi="Open Sans" w:cs="Open Sans"/>
          <w:b/>
          <w:color w:val="393F58"/>
          <w:u w:val="single"/>
        </w:rPr>
      </w:pPr>
      <w:r>
        <w:rPr>
          <w:rFonts w:ascii="Open Sans" w:eastAsia="Open Sans" w:hAnsi="Open Sans" w:cs="Open Sans"/>
          <w:b/>
          <w:color w:val="393F58"/>
          <w:u w:val="single"/>
        </w:rPr>
        <w:lastRenderedPageBreak/>
        <w:t>Annex</w:t>
      </w:r>
    </w:p>
    <w:p w14:paraId="00000072"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u w:val="single"/>
        </w:rPr>
      </w:pPr>
    </w:p>
    <w:p w14:paraId="00000073"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Annex 1 - Description of the data/data categories</w:t>
      </w:r>
    </w:p>
    <w:p w14:paraId="00000074"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00000075"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00000076" w14:textId="77777777" w:rsidR="007B7456" w:rsidRDefault="00AD79BB">
      <w:pPr>
        <w:numPr>
          <w:ilvl w:val="0"/>
          <w:numId w:val="7"/>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First and last name</w:t>
      </w:r>
    </w:p>
    <w:p w14:paraId="00000077" w14:textId="77777777" w:rsidR="007B7456" w:rsidRDefault="00AD79BB">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 xml:space="preserve">E-Mail addresses </w:t>
      </w:r>
    </w:p>
    <w:p w14:paraId="00000078" w14:textId="77777777" w:rsidR="007B7456" w:rsidRDefault="00AD79BB">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Addresses</w:t>
      </w:r>
    </w:p>
    <w:p w14:paraId="00000079" w14:textId="77777777" w:rsidR="007B7456" w:rsidRDefault="00AD79BB">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 xml:space="preserve">Telephone numbers </w:t>
      </w:r>
    </w:p>
    <w:p w14:paraId="0000007A" w14:textId="77777777" w:rsidR="007B7456" w:rsidRDefault="00AD79BB">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Health insurance number</w:t>
      </w:r>
    </w:p>
    <w:p w14:paraId="0000007B" w14:textId="77777777" w:rsidR="007B7456" w:rsidRDefault="00AD79BB">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Health data (e.g. diagnoses, examination results, certificates, etc.)</w:t>
      </w:r>
    </w:p>
    <w:p w14:paraId="0000007C" w14:textId="77777777" w:rsidR="007B7456" w:rsidRDefault="00AD79BB">
      <w:pPr>
        <w:numPr>
          <w:ilvl w:val="0"/>
          <w:numId w:val="7"/>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 xml:space="preserve">Other personal data stored in the cloud by users of the product </w:t>
      </w:r>
    </w:p>
    <w:p w14:paraId="0000007D" w14:textId="77777777" w:rsidR="007B7456" w:rsidRDefault="007B7456">
      <w:pPr>
        <w:pBdr>
          <w:top w:val="none" w:sz="0" w:space="0" w:color="000000"/>
          <w:left w:val="none" w:sz="0" w:space="0" w:color="000000"/>
          <w:bottom w:val="none" w:sz="0" w:space="0" w:color="000000"/>
          <w:right w:val="none" w:sz="0" w:space="0" w:color="000000"/>
        </w:pBdr>
        <w:spacing w:after="120"/>
        <w:jc w:val="both"/>
        <w:rPr>
          <w:rFonts w:ascii="Open Sans" w:eastAsia="Open Sans" w:hAnsi="Open Sans" w:cs="Open Sans"/>
          <w:color w:val="393F58"/>
        </w:rPr>
      </w:pPr>
    </w:p>
    <w:p w14:paraId="0000007E"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Annex 2 - Description of affected Data Subject/groups of affected Data Subjects</w:t>
      </w:r>
    </w:p>
    <w:p w14:paraId="0000007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00000080" w14:textId="77777777" w:rsidR="007B7456" w:rsidRDefault="00AD79BB">
      <w:pPr>
        <w:numPr>
          <w:ilvl w:val="0"/>
          <w:numId w:val="11"/>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 xml:space="preserve">Patients </w:t>
      </w:r>
    </w:p>
    <w:p w14:paraId="00000081" w14:textId="77777777" w:rsidR="007B7456" w:rsidRDefault="00AD79BB">
      <w:pPr>
        <w:numPr>
          <w:ilvl w:val="0"/>
          <w:numId w:val="1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Doctors</w:t>
      </w:r>
    </w:p>
    <w:p w14:paraId="00000082" w14:textId="77777777" w:rsidR="007B7456" w:rsidRDefault="00AD79BB">
      <w:pPr>
        <w:numPr>
          <w:ilvl w:val="0"/>
          <w:numId w:val="11"/>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 xml:space="preserve">Staff of medical clinic </w:t>
      </w:r>
    </w:p>
    <w:p w14:paraId="00000083"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p>
    <w:p w14:paraId="0000008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85"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Annex 3 - Technical and organizational measures of the Data Processor</w:t>
      </w:r>
    </w:p>
    <w:p w14:paraId="00000086"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87"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1. Introduction</w:t>
      </w:r>
    </w:p>
    <w:p w14:paraId="00000088"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 xml:space="preserve">This document summarizes the technical and organizational measures taken by the processor within the meaning of Article 32 (1) of the GDPR. These are measures with which the processor protects personal data. </w:t>
      </w:r>
    </w:p>
    <w:p w14:paraId="0000008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8A"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lastRenderedPageBreak/>
        <w:t>2. Confidentiality (Art. 32 para. 1 lit. b DSGVO)</w:t>
      </w:r>
    </w:p>
    <w:p w14:paraId="0000008B"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2.1. Physical Access Control</w:t>
      </w:r>
    </w:p>
    <w:p w14:paraId="0000008C"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implemented measures prevent unauthorized persons from gaining access to the data processing facilities:</w:t>
      </w:r>
    </w:p>
    <w:p w14:paraId="0000008D" w14:textId="77777777" w:rsidR="007B7456" w:rsidRDefault="00AD79BB">
      <w:pPr>
        <w:numPr>
          <w:ilvl w:val="0"/>
          <w:numId w:val="1"/>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Manual locking system (e.g. key)</w:t>
      </w:r>
    </w:p>
    <w:p w14:paraId="0000008E" w14:textId="77777777" w:rsidR="007B7456" w:rsidRDefault="00AD79BB">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Security locks</w:t>
      </w:r>
    </w:p>
    <w:p w14:paraId="0000008F" w14:textId="77777777" w:rsidR="007B7456" w:rsidRDefault="00AD79BB">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Bell system with camera</w:t>
      </w:r>
    </w:p>
    <w:p w14:paraId="00000090" w14:textId="77777777" w:rsidR="007B7456" w:rsidRDefault="00AD79BB">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Visitors only accompanied by employees</w:t>
      </w:r>
    </w:p>
    <w:p w14:paraId="00000091" w14:textId="77777777" w:rsidR="007B7456" w:rsidRDefault="00AD79BB">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Instruction to employees not to work in premises open to the public (e.g. cafés)</w:t>
      </w:r>
    </w:p>
    <w:p w14:paraId="00000092" w14:textId="77777777" w:rsidR="007B7456" w:rsidRDefault="00AD79BB">
      <w:pPr>
        <w:numPr>
          <w:ilvl w:val="0"/>
          <w:numId w:val="1"/>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Work in home office: instruct employees, if possible, to work in study separate from living quarters</w:t>
      </w:r>
    </w:p>
    <w:p w14:paraId="0000009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p>
    <w:p w14:paraId="00000094"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2.2. Logical Access Control</w:t>
      </w:r>
    </w:p>
    <w:p w14:paraId="00000095"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implemented measures prevent unauthorized persons from accessing the data processing systems:</w:t>
      </w:r>
    </w:p>
    <w:p w14:paraId="00000096" w14:textId="77777777" w:rsidR="007B7456" w:rsidRDefault="00AD79BB">
      <w:pPr>
        <w:numPr>
          <w:ilvl w:val="0"/>
          <w:numId w:val="6"/>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Authentication with biometric data</w:t>
      </w:r>
    </w:p>
    <w:p w14:paraId="00000097"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Use of anti-virus software</w:t>
      </w:r>
    </w:p>
    <w:p w14:paraId="00000098"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Firewall deployment</w:t>
      </w:r>
    </w:p>
    <w:p w14:paraId="00000099"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Use of Mobile Device Management</w:t>
      </w:r>
    </w:p>
    <w:p w14:paraId="0000009A"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Encryption of data carriers</w:t>
      </w:r>
    </w:p>
    <w:p w14:paraId="0000009B"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Smartphone encryption</w:t>
      </w:r>
    </w:p>
    <w:p w14:paraId="0000009C"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Encryption of notebooks / tablets</w:t>
      </w:r>
    </w:p>
    <w:p w14:paraId="0000009D"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User Permissions Management</w:t>
      </w:r>
    </w:p>
    <w:p w14:paraId="0000009E"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Create user profiles</w:t>
      </w:r>
    </w:p>
    <w:p w14:paraId="0000009F" w14:textId="77777777" w:rsidR="007B7456" w:rsidRDefault="00AD79BB">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Central password rules</w:t>
      </w:r>
    </w:p>
    <w:p w14:paraId="000000A0" w14:textId="77777777" w:rsidR="007B7456" w:rsidRDefault="00AD79BB">
      <w:pPr>
        <w:numPr>
          <w:ilvl w:val="0"/>
          <w:numId w:val="6"/>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Use of 2-factor authentication</w:t>
      </w:r>
    </w:p>
    <w:p w14:paraId="000000A1"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A2"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2.3 Authorization Control</w:t>
      </w:r>
    </w:p>
    <w:p w14:paraId="000000A3"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lastRenderedPageBreak/>
        <w:t>The following implemented measures ensure that unauthorized persons do not have access to personal data:</w:t>
      </w:r>
    </w:p>
    <w:p w14:paraId="000000A4" w14:textId="77777777" w:rsidR="007B7456" w:rsidRDefault="00AD79BB">
      <w:pPr>
        <w:numPr>
          <w:ilvl w:val="0"/>
          <w:numId w:val="12"/>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Use of document shredders (with cross cut function)</w:t>
      </w:r>
    </w:p>
    <w:p w14:paraId="000000A5" w14:textId="77777777" w:rsidR="007B7456" w:rsidRDefault="00AD79BB">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Use of an authorization concept</w:t>
      </w:r>
    </w:p>
    <w:p w14:paraId="000000A6" w14:textId="77777777" w:rsidR="007B7456" w:rsidRDefault="00AD79BB">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Number of administrators is kept as small as possible</w:t>
      </w:r>
    </w:p>
    <w:p w14:paraId="000000A7" w14:textId="77777777" w:rsidR="007B7456" w:rsidRDefault="00AD79BB">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Secure storage of data media</w:t>
      </w:r>
    </w:p>
    <w:p w14:paraId="000000A8" w14:textId="77777777" w:rsidR="007B7456" w:rsidRDefault="00AD79BB">
      <w:pPr>
        <w:numPr>
          <w:ilvl w:val="0"/>
          <w:numId w:val="12"/>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Management of user rights by system administrators</w:t>
      </w:r>
    </w:p>
    <w:p w14:paraId="000000A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AA"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2.4 Separation control</w:t>
      </w:r>
    </w:p>
    <w:p w14:paraId="000000AB"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ensure that personal data collected for different purposes are processed separately:</w:t>
      </w:r>
    </w:p>
    <w:p w14:paraId="000000AC" w14:textId="77777777" w:rsidR="007B7456" w:rsidRDefault="00AD79BB">
      <w:pPr>
        <w:numPr>
          <w:ilvl w:val="0"/>
          <w:numId w:val="9"/>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Separation of productive and test system</w:t>
      </w:r>
    </w:p>
    <w:p w14:paraId="000000AD" w14:textId="77777777" w:rsidR="007B7456" w:rsidRDefault="00AD79BB">
      <w:pPr>
        <w:numPr>
          <w:ilvl w:val="0"/>
          <w:numId w:val="9"/>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Encryption of data sets processed for the same purpose</w:t>
      </w:r>
    </w:p>
    <w:p w14:paraId="000000AE" w14:textId="77777777" w:rsidR="007B7456" w:rsidRDefault="00AD79BB">
      <w:pPr>
        <w:numPr>
          <w:ilvl w:val="0"/>
          <w:numId w:val="9"/>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Providing the records with purpose attributes/data fields</w:t>
      </w:r>
    </w:p>
    <w:p w14:paraId="000000A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B0"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 Integrity (Art. 32 para. 1 lit. b DSGVO)</w:t>
      </w:r>
    </w:p>
    <w:p w14:paraId="000000B1"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3.1 Transmission control</w:t>
      </w:r>
    </w:p>
    <w:p w14:paraId="000000B2"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It is ensured that personal data cannot be read, copied, changed or removed without authorization during transfer or storage on data carriers and that it is possible to check which persons or bodies have received personal data. The following measures are implemented to ensure this:</w:t>
      </w:r>
    </w:p>
    <w:p w14:paraId="000000B3" w14:textId="77777777" w:rsidR="007B7456" w:rsidRDefault="00AD79BB">
      <w:pPr>
        <w:numPr>
          <w:ilvl w:val="0"/>
          <w:numId w:val="4"/>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Email encryption</w:t>
      </w:r>
    </w:p>
    <w:p w14:paraId="000000B4" w14:textId="77777777" w:rsidR="007B7456" w:rsidRDefault="00AD79BB">
      <w:pPr>
        <w:numPr>
          <w:ilvl w:val="0"/>
          <w:numId w:val="4"/>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Provision of data via encrypted connections such as SFTP or HTTPS</w:t>
      </w:r>
    </w:p>
    <w:p w14:paraId="000000B5"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B6"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3.2 Input control</w:t>
      </w:r>
    </w:p>
    <w:p w14:paraId="000000B7"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ensure that it is possible to check who has processed personal data in data processing systems and at what time:</w:t>
      </w:r>
    </w:p>
    <w:p w14:paraId="000000B8" w14:textId="77777777" w:rsidR="007B7456" w:rsidRDefault="00AD79BB">
      <w:pPr>
        <w:numPr>
          <w:ilvl w:val="0"/>
          <w:numId w:val="8"/>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Manual or automatic control of the logs</w:t>
      </w:r>
    </w:p>
    <w:p w14:paraId="000000B9" w14:textId="77777777" w:rsidR="007B7456" w:rsidRDefault="00AD79BB">
      <w:pPr>
        <w:numPr>
          <w:ilvl w:val="0"/>
          <w:numId w:val="8"/>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lastRenderedPageBreak/>
        <w:t>Assignment of rights to enter, change and delete data on the basis of an authorization concept</w:t>
      </w:r>
    </w:p>
    <w:p w14:paraId="000000BA"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BB"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4. Availability and resilience (Art. 32 para. 1 lit. b DSGVO)</w:t>
      </w:r>
    </w:p>
    <w:p w14:paraId="000000BC"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ensure that personal data is protected against accidental destruction or loss and is always available to the client:</w:t>
      </w:r>
    </w:p>
    <w:p w14:paraId="000000BD" w14:textId="77777777" w:rsidR="007B7456" w:rsidRDefault="00AD79BB">
      <w:pPr>
        <w:numPr>
          <w:ilvl w:val="0"/>
          <w:numId w:val="5"/>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Keeping data backup in a secure, off-site location</w:t>
      </w:r>
    </w:p>
    <w:p w14:paraId="000000BE" w14:textId="77777777" w:rsidR="007B7456" w:rsidRDefault="00AD79BB">
      <w:pPr>
        <w:numPr>
          <w:ilvl w:val="0"/>
          <w:numId w:val="5"/>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Separation of operating systems and data</w:t>
      </w:r>
    </w:p>
    <w:p w14:paraId="000000BF" w14:textId="77777777" w:rsidR="007B7456" w:rsidRDefault="00AD79BB">
      <w:pPr>
        <w:numPr>
          <w:ilvl w:val="0"/>
          <w:numId w:val="5"/>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 xml:space="preserve">Hosting (at least of the most important data) with a professional </w:t>
      </w:r>
      <w:proofErr w:type="spellStart"/>
      <w:r>
        <w:rPr>
          <w:rFonts w:ascii="Open Sans" w:eastAsia="Open Sans" w:hAnsi="Open Sans" w:cs="Open Sans"/>
          <w:color w:val="393F58"/>
        </w:rPr>
        <w:t>hoster</w:t>
      </w:r>
      <w:proofErr w:type="spellEnd"/>
    </w:p>
    <w:p w14:paraId="000000C0"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C1"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 Procedures for regular review, assessment and evaluation (Art. 32(1)(d) GDPR; Art. 25(1) GDPR)</w:t>
      </w:r>
    </w:p>
    <w:p w14:paraId="000000C2"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5.1 Data protection management</w:t>
      </w:r>
    </w:p>
    <w:p w14:paraId="000000C3"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are intended to ensure that an organization that meets the basic requirements of data protection law is in place:</w:t>
      </w:r>
    </w:p>
    <w:p w14:paraId="000000C4" w14:textId="77777777" w:rsidR="007B7456" w:rsidRDefault="00AD79BB">
      <w:pPr>
        <w:numPr>
          <w:ilvl w:val="0"/>
          <w:numId w:val="3"/>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 xml:space="preserve">Using the </w:t>
      </w:r>
      <w:proofErr w:type="spellStart"/>
      <w:r>
        <w:rPr>
          <w:rFonts w:ascii="Open Sans" w:eastAsia="Open Sans" w:hAnsi="Open Sans" w:cs="Open Sans"/>
          <w:color w:val="393F58"/>
        </w:rPr>
        <w:t>heyData</w:t>
      </w:r>
      <w:proofErr w:type="spellEnd"/>
      <w:r>
        <w:rPr>
          <w:rFonts w:ascii="Open Sans" w:eastAsia="Open Sans" w:hAnsi="Open Sans" w:cs="Open Sans"/>
          <w:color w:val="393F58"/>
        </w:rPr>
        <w:t xml:space="preserve"> platform for data protection management</w:t>
      </w:r>
    </w:p>
    <w:p w14:paraId="000000C5" w14:textId="77777777" w:rsidR="007B7456" w:rsidRDefault="00AD79BB">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 xml:space="preserve">Appointment of the data protection officer </w:t>
      </w:r>
      <w:proofErr w:type="spellStart"/>
      <w:r>
        <w:rPr>
          <w:rFonts w:ascii="Open Sans" w:eastAsia="Open Sans" w:hAnsi="Open Sans" w:cs="Open Sans"/>
          <w:color w:val="393F58"/>
        </w:rPr>
        <w:t>heyData</w:t>
      </w:r>
      <w:proofErr w:type="spellEnd"/>
    </w:p>
    <w:p w14:paraId="000000C6" w14:textId="77777777" w:rsidR="007B7456" w:rsidRDefault="00AD79BB">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Obligation of employees to data secrecy</w:t>
      </w:r>
    </w:p>
    <w:p w14:paraId="000000C7" w14:textId="77777777" w:rsidR="007B7456" w:rsidRDefault="00AD79BB">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Regular training of employees in data protection</w:t>
      </w:r>
    </w:p>
    <w:p w14:paraId="000000C8" w14:textId="77777777" w:rsidR="007B7456" w:rsidRDefault="00AD79BB">
      <w:pPr>
        <w:numPr>
          <w:ilvl w:val="0"/>
          <w:numId w:val="3"/>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Keeping an overview of processing activities (Art. 30 GDPR)</w:t>
      </w:r>
    </w:p>
    <w:p w14:paraId="000000C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CA"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5.2 Incident response management</w:t>
      </w:r>
    </w:p>
    <w:p w14:paraId="000000CB"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are intended to ensure that notification processes are triggered in the event of data privacy breaches:</w:t>
      </w:r>
    </w:p>
    <w:p w14:paraId="000000CC" w14:textId="77777777" w:rsidR="007B7456" w:rsidRDefault="00AD79BB">
      <w:pPr>
        <w:numPr>
          <w:ilvl w:val="0"/>
          <w:numId w:val="10"/>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Data breach notification process pursuant to Art. 4 No. 12 GDPR to the supervisory authorities (Art. 33 GDPR)</w:t>
      </w:r>
    </w:p>
    <w:p w14:paraId="000000CD" w14:textId="77777777" w:rsidR="007B7456" w:rsidRDefault="00AD79BB">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Data breach notification process pursuant to Art. 4 No. 12 DSGVO vis-à-vis data subjects (Art. 34 DSGVO)</w:t>
      </w:r>
    </w:p>
    <w:p w14:paraId="000000CE" w14:textId="77777777" w:rsidR="007B7456" w:rsidRDefault="00AD79BB">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lastRenderedPageBreak/>
        <w:t>Involvement of the data protection officer in security incidents and data breaches</w:t>
      </w:r>
    </w:p>
    <w:p w14:paraId="000000CF" w14:textId="77777777" w:rsidR="007B7456" w:rsidRDefault="00AD79BB">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Use of anti-virus software</w:t>
      </w:r>
    </w:p>
    <w:p w14:paraId="000000D0" w14:textId="77777777" w:rsidR="007B7456" w:rsidRDefault="00AD79BB">
      <w:pPr>
        <w:numPr>
          <w:ilvl w:val="0"/>
          <w:numId w:val="10"/>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Firewall deployment</w:t>
      </w:r>
    </w:p>
    <w:p w14:paraId="000000D1"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D2"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5.3 Data protection-friendly default settings (Art. 25 (2) GDPR)</w:t>
      </w:r>
    </w:p>
    <w:p w14:paraId="000000D3"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implemented measures take into account the requirements of the principles "Privacy by design" and "Privacy by default":</w:t>
      </w:r>
    </w:p>
    <w:p w14:paraId="000000D4" w14:textId="77777777" w:rsidR="007B7456" w:rsidRDefault="00AD79BB">
      <w:pPr>
        <w:numPr>
          <w:ilvl w:val="0"/>
          <w:numId w:val="13"/>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Training of employees in "Privacy by design" and "Privacy by default".</w:t>
      </w:r>
    </w:p>
    <w:p w14:paraId="000000D5" w14:textId="77777777" w:rsidR="007B7456" w:rsidRDefault="00AD79BB">
      <w:pPr>
        <w:numPr>
          <w:ilvl w:val="0"/>
          <w:numId w:val="13"/>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No more personal data is collected than is necessary for the respective purpose.</w:t>
      </w:r>
    </w:p>
    <w:p w14:paraId="000000D6"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D7"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5.4 Order control</w:t>
      </w:r>
    </w:p>
    <w:p w14:paraId="000000D8"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The following measures ensure that personal data can only be processed in accordance with the instructions:</w:t>
      </w:r>
    </w:p>
    <w:p w14:paraId="000000D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DA" w14:textId="77777777" w:rsidR="007B7456" w:rsidRDefault="00AD79BB">
      <w:pPr>
        <w:numPr>
          <w:ilvl w:val="0"/>
          <w:numId w:val="2"/>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Written instructions to the contractor or instructions in text form (e.g. by order processing contract)</w:t>
      </w:r>
    </w:p>
    <w:p w14:paraId="000000DB" w14:textId="77777777" w:rsidR="007B7456" w:rsidRDefault="00AD79BB">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Ensuring the destruction of data after completion of the order, e.g. by requesting appropriate confirmations</w:t>
      </w:r>
    </w:p>
    <w:p w14:paraId="000000DC" w14:textId="77777777" w:rsidR="007B7456" w:rsidRDefault="00AD79BB">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Confirmation from contractors that they commit their own employees to data secrecy (typically in the order processing contract)</w:t>
      </w:r>
    </w:p>
    <w:p w14:paraId="000000DD" w14:textId="77777777" w:rsidR="007B7456" w:rsidRDefault="00AD79BB">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Careful selection of contractors (especially with regard to data security)</w:t>
      </w:r>
    </w:p>
    <w:p w14:paraId="000000DE" w14:textId="77777777" w:rsidR="007B7456" w:rsidRDefault="00AD79BB">
      <w:pPr>
        <w:numPr>
          <w:ilvl w:val="0"/>
          <w:numId w:val="2"/>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Ongoing review of contractors and their activities</w:t>
      </w:r>
    </w:p>
    <w:p w14:paraId="000000D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0"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1"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2"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4"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6"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7"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0E8" w14:textId="77777777" w:rsidR="007B7456" w:rsidRDefault="00AD79BB">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highlight w:val="yellow"/>
        </w:rPr>
      </w:pPr>
      <w:r>
        <w:rPr>
          <w:rFonts w:ascii="Open Sans" w:eastAsia="Open Sans" w:hAnsi="Open Sans" w:cs="Open Sans"/>
          <w:b/>
          <w:color w:val="393F58"/>
        </w:rPr>
        <w:t>Annex 4 – Current Sub-processors</w:t>
      </w:r>
    </w:p>
    <w:p w14:paraId="000000E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B7456" w14:paraId="614E1CFB" w14:textId="77777777">
        <w:tc>
          <w:tcPr>
            <w:tcW w:w="3120" w:type="dxa"/>
            <w:shd w:val="clear" w:color="auto" w:fill="auto"/>
            <w:tcMar>
              <w:top w:w="100" w:type="dxa"/>
              <w:left w:w="100" w:type="dxa"/>
              <w:bottom w:w="100" w:type="dxa"/>
              <w:right w:w="100" w:type="dxa"/>
            </w:tcMar>
          </w:tcPr>
          <w:p w14:paraId="000000EA" w14:textId="77777777" w:rsidR="007B7456" w:rsidRDefault="00AD79BB">
            <w:pPr>
              <w:widowControl w:val="0"/>
              <w:rPr>
                <w:rFonts w:ascii="Open Sans" w:eastAsia="Open Sans" w:hAnsi="Open Sans" w:cs="Open Sans"/>
                <w:b/>
                <w:color w:val="393F58"/>
              </w:rPr>
            </w:pPr>
            <w:r>
              <w:rPr>
                <w:rFonts w:ascii="Open Sans" w:eastAsia="Open Sans" w:hAnsi="Open Sans" w:cs="Open Sans"/>
                <w:b/>
                <w:color w:val="393F58"/>
              </w:rPr>
              <w:t>Name</w:t>
            </w:r>
          </w:p>
        </w:tc>
        <w:tc>
          <w:tcPr>
            <w:tcW w:w="3120" w:type="dxa"/>
            <w:shd w:val="clear" w:color="auto" w:fill="auto"/>
            <w:tcMar>
              <w:top w:w="100" w:type="dxa"/>
              <w:left w:w="100" w:type="dxa"/>
              <w:bottom w:w="100" w:type="dxa"/>
              <w:right w:w="100" w:type="dxa"/>
            </w:tcMar>
          </w:tcPr>
          <w:p w14:paraId="000000EB" w14:textId="77777777" w:rsidR="007B7456" w:rsidRDefault="00AD79BB">
            <w:pPr>
              <w:widowControl w:val="0"/>
              <w:rPr>
                <w:rFonts w:ascii="Open Sans" w:eastAsia="Open Sans" w:hAnsi="Open Sans" w:cs="Open Sans"/>
                <w:b/>
                <w:color w:val="393F58"/>
              </w:rPr>
            </w:pPr>
            <w:r>
              <w:rPr>
                <w:rFonts w:ascii="Open Sans" w:eastAsia="Open Sans" w:hAnsi="Open Sans" w:cs="Open Sans"/>
                <w:b/>
                <w:color w:val="393F58"/>
              </w:rPr>
              <w:t>Function</w:t>
            </w:r>
          </w:p>
        </w:tc>
        <w:tc>
          <w:tcPr>
            <w:tcW w:w="3120" w:type="dxa"/>
            <w:shd w:val="clear" w:color="auto" w:fill="auto"/>
            <w:tcMar>
              <w:top w:w="100" w:type="dxa"/>
              <w:left w:w="100" w:type="dxa"/>
              <w:bottom w:w="100" w:type="dxa"/>
              <w:right w:w="100" w:type="dxa"/>
            </w:tcMar>
          </w:tcPr>
          <w:p w14:paraId="000000EC" w14:textId="77777777" w:rsidR="007B7456" w:rsidRDefault="00AD79BB">
            <w:pPr>
              <w:widowControl w:val="0"/>
              <w:rPr>
                <w:rFonts w:ascii="Open Sans" w:eastAsia="Open Sans" w:hAnsi="Open Sans" w:cs="Open Sans"/>
                <w:b/>
                <w:color w:val="393F58"/>
              </w:rPr>
            </w:pPr>
            <w:r>
              <w:rPr>
                <w:rFonts w:ascii="Open Sans" w:eastAsia="Open Sans" w:hAnsi="Open Sans" w:cs="Open Sans"/>
                <w:b/>
                <w:color w:val="393F58"/>
              </w:rPr>
              <w:t>Server location</w:t>
            </w:r>
          </w:p>
        </w:tc>
      </w:tr>
      <w:tr w:rsidR="007B7456" w14:paraId="0CBAAAD2" w14:textId="77777777">
        <w:tc>
          <w:tcPr>
            <w:tcW w:w="3120" w:type="dxa"/>
            <w:shd w:val="clear" w:color="auto" w:fill="auto"/>
            <w:tcMar>
              <w:top w:w="100" w:type="dxa"/>
              <w:left w:w="100" w:type="dxa"/>
              <w:bottom w:w="100" w:type="dxa"/>
              <w:right w:w="100" w:type="dxa"/>
            </w:tcMar>
          </w:tcPr>
          <w:p w14:paraId="000000ED" w14:textId="77777777" w:rsidR="007B7456" w:rsidRDefault="00AD79BB">
            <w:pPr>
              <w:widowControl w:val="0"/>
              <w:rPr>
                <w:rFonts w:ascii="Open Sans" w:eastAsia="Open Sans" w:hAnsi="Open Sans" w:cs="Open Sans"/>
                <w:color w:val="393F58"/>
              </w:rPr>
            </w:pPr>
            <w:r>
              <w:rPr>
                <w:rFonts w:ascii="Open Sans" w:eastAsia="Open Sans" w:hAnsi="Open Sans" w:cs="Open Sans"/>
                <w:color w:val="393F58"/>
              </w:rPr>
              <w:t xml:space="preserve">Microsoft Corporation, One Microsoft Way, Redmond, WA 98052-6399, USA </w:t>
            </w:r>
          </w:p>
        </w:tc>
        <w:tc>
          <w:tcPr>
            <w:tcW w:w="3120" w:type="dxa"/>
            <w:shd w:val="clear" w:color="auto" w:fill="auto"/>
            <w:tcMar>
              <w:top w:w="100" w:type="dxa"/>
              <w:left w:w="100" w:type="dxa"/>
              <w:bottom w:w="100" w:type="dxa"/>
              <w:right w:w="100" w:type="dxa"/>
            </w:tcMar>
          </w:tcPr>
          <w:p w14:paraId="000000EE" w14:textId="77777777" w:rsidR="007B7456" w:rsidRDefault="00AD79BB">
            <w:pPr>
              <w:widowControl w:val="0"/>
              <w:rPr>
                <w:rFonts w:ascii="Open Sans" w:eastAsia="Open Sans" w:hAnsi="Open Sans" w:cs="Open Sans"/>
                <w:color w:val="393F58"/>
              </w:rPr>
            </w:pPr>
            <w:r>
              <w:rPr>
                <w:rFonts w:ascii="Open Sans" w:eastAsia="Open Sans" w:hAnsi="Open Sans" w:cs="Open Sans"/>
                <w:color w:val="393F58"/>
              </w:rPr>
              <w:t>Hosting</w:t>
            </w:r>
          </w:p>
        </w:tc>
        <w:tc>
          <w:tcPr>
            <w:tcW w:w="3120" w:type="dxa"/>
            <w:shd w:val="clear" w:color="auto" w:fill="auto"/>
            <w:tcMar>
              <w:top w:w="100" w:type="dxa"/>
              <w:left w:w="100" w:type="dxa"/>
              <w:bottom w:w="100" w:type="dxa"/>
              <w:right w:w="100" w:type="dxa"/>
            </w:tcMar>
          </w:tcPr>
          <w:p w14:paraId="000000EF" w14:textId="77777777" w:rsidR="007B7456" w:rsidRDefault="00AD79BB">
            <w:pPr>
              <w:widowControl w:val="0"/>
              <w:rPr>
                <w:rFonts w:ascii="Open Sans" w:eastAsia="Open Sans" w:hAnsi="Open Sans" w:cs="Open Sans"/>
                <w:color w:val="393F58"/>
              </w:rPr>
            </w:pPr>
            <w:r>
              <w:rPr>
                <w:rFonts w:ascii="Open Sans" w:eastAsia="Open Sans" w:hAnsi="Open Sans" w:cs="Open Sans"/>
                <w:color w:val="393F58"/>
              </w:rPr>
              <w:t>EU (Frankfurt)</w:t>
            </w:r>
          </w:p>
        </w:tc>
      </w:tr>
      <w:tr w:rsidR="007B7456" w14:paraId="41652ED8" w14:textId="77777777">
        <w:tc>
          <w:tcPr>
            <w:tcW w:w="3120" w:type="dxa"/>
            <w:shd w:val="clear" w:color="auto" w:fill="auto"/>
            <w:tcMar>
              <w:top w:w="100" w:type="dxa"/>
              <w:left w:w="100" w:type="dxa"/>
              <w:bottom w:w="100" w:type="dxa"/>
              <w:right w:w="100" w:type="dxa"/>
            </w:tcMar>
          </w:tcPr>
          <w:p w14:paraId="000000F0" w14:textId="77777777" w:rsidR="007B7456" w:rsidRDefault="00AD79BB">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BlueSnap Corporate, 800 South St., Suite 640, Waltham, MA, USA</w:t>
            </w:r>
          </w:p>
        </w:tc>
        <w:tc>
          <w:tcPr>
            <w:tcW w:w="3120" w:type="dxa"/>
            <w:shd w:val="clear" w:color="auto" w:fill="auto"/>
            <w:tcMar>
              <w:top w:w="100" w:type="dxa"/>
              <w:left w:w="100" w:type="dxa"/>
              <w:bottom w:w="100" w:type="dxa"/>
              <w:right w:w="100" w:type="dxa"/>
            </w:tcMar>
          </w:tcPr>
          <w:p w14:paraId="000000F1" w14:textId="77777777" w:rsidR="007B7456" w:rsidRDefault="00AD79BB">
            <w:pPr>
              <w:widowControl w:val="0"/>
              <w:rPr>
                <w:rFonts w:ascii="Open Sans" w:eastAsia="Open Sans" w:hAnsi="Open Sans" w:cs="Open Sans"/>
                <w:color w:val="393F58"/>
              </w:rPr>
            </w:pPr>
            <w:r>
              <w:rPr>
                <w:rFonts w:ascii="Open Sans" w:eastAsia="Open Sans" w:hAnsi="Open Sans" w:cs="Open Sans"/>
                <w:color w:val="393F58"/>
              </w:rPr>
              <w:t>Payment provider</w:t>
            </w:r>
          </w:p>
        </w:tc>
        <w:tc>
          <w:tcPr>
            <w:tcW w:w="3120" w:type="dxa"/>
            <w:shd w:val="clear" w:color="auto" w:fill="auto"/>
            <w:tcMar>
              <w:top w:w="100" w:type="dxa"/>
              <w:left w:w="100" w:type="dxa"/>
              <w:bottom w:w="100" w:type="dxa"/>
              <w:right w:w="100" w:type="dxa"/>
            </w:tcMar>
          </w:tcPr>
          <w:p w14:paraId="000000F2" w14:textId="77777777" w:rsidR="007B7456" w:rsidRDefault="00000000">
            <w:pPr>
              <w:widowControl w:val="0"/>
              <w:rPr>
                <w:rFonts w:ascii="Open Sans" w:eastAsia="Open Sans" w:hAnsi="Open Sans" w:cs="Open Sans"/>
                <w:color w:val="393F58"/>
              </w:rPr>
            </w:pPr>
            <w:sdt>
              <w:sdtPr>
                <w:tag w:val="goog_rdk_4"/>
                <w:id w:val="-529640035"/>
              </w:sdtPr>
              <w:sdtContent/>
            </w:sdt>
            <w:r w:rsidR="00AD79BB">
              <w:rPr>
                <w:rFonts w:ascii="Open Sans" w:eastAsia="Open Sans" w:hAnsi="Open Sans" w:cs="Open Sans"/>
                <w:color w:val="393F58"/>
              </w:rPr>
              <w:t>USA</w:t>
            </w:r>
          </w:p>
        </w:tc>
      </w:tr>
      <w:tr w:rsidR="007B7456" w14:paraId="61C2E1B8" w14:textId="77777777">
        <w:tc>
          <w:tcPr>
            <w:tcW w:w="3120" w:type="dxa"/>
            <w:shd w:val="clear" w:color="auto" w:fill="auto"/>
            <w:tcMar>
              <w:top w:w="100" w:type="dxa"/>
              <w:left w:w="100" w:type="dxa"/>
              <w:bottom w:w="100" w:type="dxa"/>
              <w:right w:w="100" w:type="dxa"/>
            </w:tcMar>
          </w:tcPr>
          <w:p w14:paraId="000000F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4"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5" w14:textId="77777777" w:rsidR="007B7456" w:rsidRDefault="007B7456">
            <w:pPr>
              <w:widowControl w:val="0"/>
              <w:rPr>
                <w:rFonts w:ascii="Open Sans" w:eastAsia="Open Sans" w:hAnsi="Open Sans" w:cs="Open Sans"/>
                <w:color w:val="393F58"/>
              </w:rPr>
            </w:pPr>
          </w:p>
        </w:tc>
      </w:tr>
      <w:tr w:rsidR="007B7456" w14:paraId="0C5A341A" w14:textId="77777777">
        <w:tc>
          <w:tcPr>
            <w:tcW w:w="3120" w:type="dxa"/>
            <w:shd w:val="clear" w:color="auto" w:fill="auto"/>
            <w:tcMar>
              <w:top w:w="100" w:type="dxa"/>
              <w:left w:w="100" w:type="dxa"/>
              <w:bottom w:w="100" w:type="dxa"/>
              <w:right w:w="100" w:type="dxa"/>
            </w:tcMar>
          </w:tcPr>
          <w:p w14:paraId="000000F6"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7"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8" w14:textId="77777777" w:rsidR="007B7456" w:rsidRDefault="007B7456">
            <w:pPr>
              <w:widowControl w:val="0"/>
              <w:rPr>
                <w:rFonts w:ascii="Open Sans" w:eastAsia="Open Sans" w:hAnsi="Open Sans" w:cs="Open Sans"/>
                <w:color w:val="393F58"/>
              </w:rPr>
            </w:pPr>
          </w:p>
        </w:tc>
      </w:tr>
      <w:tr w:rsidR="007B7456" w14:paraId="7B8D7E44" w14:textId="77777777">
        <w:tc>
          <w:tcPr>
            <w:tcW w:w="3120" w:type="dxa"/>
            <w:shd w:val="clear" w:color="auto" w:fill="auto"/>
            <w:tcMar>
              <w:top w:w="100" w:type="dxa"/>
              <w:left w:w="100" w:type="dxa"/>
              <w:bottom w:w="100" w:type="dxa"/>
              <w:right w:w="100" w:type="dxa"/>
            </w:tcMar>
          </w:tcPr>
          <w:p w14:paraId="000000F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A"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B" w14:textId="77777777" w:rsidR="007B7456" w:rsidRDefault="007B7456">
            <w:pPr>
              <w:widowControl w:val="0"/>
              <w:rPr>
                <w:rFonts w:ascii="Open Sans" w:eastAsia="Open Sans" w:hAnsi="Open Sans" w:cs="Open Sans"/>
                <w:color w:val="393F58"/>
              </w:rPr>
            </w:pPr>
          </w:p>
        </w:tc>
      </w:tr>
      <w:tr w:rsidR="007B7456" w14:paraId="7E31F913" w14:textId="77777777">
        <w:tc>
          <w:tcPr>
            <w:tcW w:w="3120" w:type="dxa"/>
            <w:shd w:val="clear" w:color="auto" w:fill="auto"/>
            <w:tcMar>
              <w:top w:w="100" w:type="dxa"/>
              <w:left w:w="100" w:type="dxa"/>
              <w:bottom w:w="100" w:type="dxa"/>
              <w:right w:w="100" w:type="dxa"/>
            </w:tcMar>
          </w:tcPr>
          <w:p w14:paraId="000000FC"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D"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E" w14:textId="77777777" w:rsidR="007B7456" w:rsidRDefault="007B7456">
            <w:pPr>
              <w:widowControl w:val="0"/>
              <w:rPr>
                <w:rFonts w:ascii="Open Sans" w:eastAsia="Open Sans" w:hAnsi="Open Sans" w:cs="Open Sans"/>
                <w:color w:val="393F58"/>
              </w:rPr>
            </w:pPr>
          </w:p>
        </w:tc>
      </w:tr>
      <w:tr w:rsidR="007B7456" w14:paraId="5E2D5033" w14:textId="77777777">
        <w:tc>
          <w:tcPr>
            <w:tcW w:w="3120" w:type="dxa"/>
            <w:shd w:val="clear" w:color="auto" w:fill="auto"/>
            <w:tcMar>
              <w:top w:w="100" w:type="dxa"/>
              <w:left w:w="100" w:type="dxa"/>
              <w:bottom w:w="100" w:type="dxa"/>
              <w:right w:w="100" w:type="dxa"/>
            </w:tcMar>
          </w:tcPr>
          <w:p w14:paraId="000000F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0"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1" w14:textId="77777777" w:rsidR="007B7456" w:rsidRDefault="007B7456">
            <w:pPr>
              <w:widowControl w:val="0"/>
              <w:rPr>
                <w:rFonts w:ascii="Open Sans" w:eastAsia="Open Sans" w:hAnsi="Open Sans" w:cs="Open Sans"/>
                <w:color w:val="393F58"/>
              </w:rPr>
            </w:pPr>
          </w:p>
        </w:tc>
      </w:tr>
      <w:tr w:rsidR="007B7456" w14:paraId="0B6AAFF0" w14:textId="77777777">
        <w:tc>
          <w:tcPr>
            <w:tcW w:w="3120" w:type="dxa"/>
            <w:shd w:val="clear" w:color="auto" w:fill="auto"/>
            <w:tcMar>
              <w:top w:w="100" w:type="dxa"/>
              <w:left w:w="100" w:type="dxa"/>
              <w:bottom w:w="100" w:type="dxa"/>
              <w:right w:w="100" w:type="dxa"/>
            </w:tcMar>
          </w:tcPr>
          <w:p w14:paraId="00000102"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3"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4" w14:textId="77777777" w:rsidR="007B7456" w:rsidRDefault="007B7456">
            <w:pPr>
              <w:widowControl w:val="0"/>
              <w:rPr>
                <w:rFonts w:ascii="Open Sans" w:eastAsia="Open Sans" w:hAnsi="Open Sans" w:cs="Open Sans"/>
                <w:color w:val="393F58"/>
              </w:rPr>
            </w:pPr>
          </w:p>
        </w:tc>
      </w:tr>
    </w:tbl>
    <w:p w14:paraId="00000106" w14:textId="78ABC30C" w:rsidR="007B7456" w:rsidRDefault="007B7456" w:rsidP="00AE2FD7">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sectPr w:rsidR="007B7456">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thur Almeida" w:date="2023-02-07T14:52:00Z" w:initials="">
    <w:p w14:paraId="0000010A" w14:textId="77777777" w:rsidR="007B7456" w:rsidRDefault="00AD79B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fill in e-mail address if this Option is going to be used (see comment above)</w:t>
      </w:r>
    </w:p>
  </w:comment>
  <w:comment w:id="0" w:author="Arthur Almeida" w:date="2023-02-07T14:51:00Z" w:initials="">
    <w:p w14:paraId="0000010D" w14:textId="77777777" w:rsidR="007B7456" w:rsidRDefault="00AD79B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note about these two options:</w:t>
      </w:r>
    </w:p>
    <w:p w14:paraId="0000010E" w14:textId="77777777" w:rsidR="007B7456" w:rsidRDefault="007B7456">
      <w:pPr>
        <w:widowControl w:val="0"/>
        <w:pBdr>
          <w:top w:val="nil"/>
          <w:left w:val="nil"/>
          <w:bottom w:val="nil"/>
          <w:right w:val="nil"/>
          <w:between w:val="nil"/>
        </w:pBdr>
        <w:rPr>
          <w:rFonts w:ascii="Arial" w:eastAsia="Arial" w:hAnsi="Arial" w:cs="Arial"/>
          <w:color w:val="000000"/>
          <w:sz w:val="22"/>
          <w:szCs w:val="22"/>
        </w:rPr>
      </w:pPr>
    </w:p>
    <w:p w14:paraId="0000010F" w14:textId="77777777" w:rsidR="007B7456" w:rsidRDefault="00AD79B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According to the GDPR, the processor must inform the controller whenever a change in the list of sub-processors is made (for instance if you change hosting provider from Azure to Google). Here we give you the option to commit yourself to actively inform every customer of these changes; or to ask the customer to “register” to a type “newsletter” by sending you an e-mail (this is Option 1). With this option, the burden is placed on the client to reach out to you and let you know that they wish to be informed about changes in the list of sub-processors. Clients that don’t take this step must therefore not be informed. </w:t>
      </w:r>
    </w:p>
    <w:p w14:paraId="00000110" w14:textId="77777777" w:rsidR="007B7456" w:rsidRDefault="007B7456">
      <w:pPr>
        <w:widowControl w:val="0"/>
        <w:pBdr>
          <w:top w:val="nil"/>
          <w:left w:val="nil"/>
          <w:bottom w:val="nil"/>
          <w:right w:val="nil"/>
          <w:between w:val="nil"/>
        </w:pBdr>
        <w:rPr>
          <w:rFonts w:ascii="Arial" w:eastAsia="Arial" w:hAnsi="Arial" w:cs="Arial"/>
          <w:color w:val="000000"/>
          <w:sz w:val="22"/>
          <w:szCs w:val="22"/>
        </w:rPr>
      </w:pPr>
    </w:p>
    <w:p w14:paraId="00000111" w14:textId="77777777" w:rsidR="007B7456" w:rsidRDefault="00AD79B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There is much to suggest that this procedure is not compliant in this way. However, it is comparatively convenient for processors. Courts have not yet declared such a procedure inadmissible.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0A" w15:done="1"/>
  <w15:commentEx w15:paraId="0000011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0A" w16cid:durableId="279750A3"/>
  <w16cid:commentId w16cid:paraId="00000111" w16cid:durableId="27975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C23E" w14:textId="77777777" w:rsidR="006A04B2" w:rsidRDefault="006A04B2">
      <w:r>
        <w:separator/>
      </w:r>
    </w:p>
  </w:endnote>
  <w:endnote w:type="continuationSeparator" w:id="0">
    <w:p w14:paraId="7E0E7FD4" w14:textId="77777777" w:rsidR="006A04B2" w:rsidRDefault="006A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57AF4416" w:rsidR="007B7456" w:rsidRDefault="00AD79BB">
    <w:pPr>
      <w:pBdr>
        <w:top w:val="nil"/>
        <w:left w:val="nil"/>
        <w:bottom w:val="nil"/>
        <w:right w:val="nil"/>
        <w:between w:val="nil"/>
      </w:pBdr>
      <w:spacing w:before="400" w:after="400" w:line="260" w:lineRule="auto"/>
      <w:jc w:val="center"/>
      <w:rPr>
        <w:rFonts w:ascii="Open Sans" w:eastAsia="Open Sans" w:hAnsi="Open Sans" w:cs="Open Sans"/>
        <w:color w:val="393F58"/>
        <w:sz w:val="22"/>
        <w:szCs w:val="22"/>
      </w:rPr>
    </w:pPr>
    <w:r>
      <w:rPr>
        <w:rFonts w:ascii="Open Sans" w:eastAsia="Open Sans" w:hAnsi="Open Sans" w:cs="Open Sans"/>
        <w:color w:val="393F58"/>
        <w:sz w:val="22"/>
        <w:szCs w:val="22"/>
      </w:rPr>
      <w:fldChar w:fldCharType="begin"/>
    </w:r>
    <w:r>
      <w:rPr>
        <w:rFonts w:ascii="Open Sans" w:eastAsia="Open Sans" w:hAnsi="Open Sans" w:cs="Open Sans"/>
        <w:color w:val="393F58"/>
        <w:sz w:val="22"/>
        <w:szCs w:val="22"/>
      </w:rPr>
      <w:instrText>PAGE</w:instrText>
    </w:r>
    <w:r>
      <w:rPr>
        <w:rFonts w:ascii="Open Sans" w:eastAsia="Open Sans" w:hAnsi="Open Sans" w:cs="Open Sans"/>
        <w:color w:val="393F58"/>
        <w:sz w:val="22"/>
        <w:szCs w:val="22"/>
      </w:rPr>
      <w:fldChar w:fldCharType="separate"/>
    </w:r>
    <w:r w:rsidR="00EE6196">
      <w:rPr>
        <w:rFonts w:ascii="Open Sans" w:eastAsia="Open Sans" w:hAnsi="Open Sans" w:cs="Open Sans"/>
        <w:noProof/>
        <w:color w:val="393F58"/>
        <w:sz w:val="22"/>
        <w:szCs w:val="22"/>
      </w:rPr>
      <w:t>1</w:t>
    </w:r>
    <w:r>
      <w:rPr>
        <w:rFonts w:ascii="Open Sans" w:eastAsia="Open Sans" w:hAnsi="Open Sans" w:cs="Open Sans"/>
        <w:color w:val="393F58"/>
        <w:sz w:val="22"/>
        <w:szCs w:val="22"/>
      </w:rPr>
      <w:fldChar w:fldCharType="end"/>
    </w:r>
    <w:r>
      <w:rPr>
        <w:rFonts w:ascii="Open Sans" w:eastAsia="Open Sans" w:hAnsi="Open Sans" w:cs="Open Sans"/>
        <w:color w:val="2A324C"/>
        <w:sz w:val="18"/>
        <w:szCs w:val="18"/>
      </w:rPr>
      <w:t xml:space="preserve"> / </w:t>
    </w:r>
    <w:r>
      <w:rPr>
        <w:rFonts w:ascii="Open Sans" w:eastAsia="Open Sans" w:hAnsi="Open Sans" w:cs="Open Sans"/>
        <w:color w:val="393F58"/>
        <w:sz w:val="22"/>
        <w:szCs w:val="22"/>
      </w:rPr>
      <w:fldChar w:fldCharType="begin"/>
    </w:r>
    <w:r>
      <w:rPr>
        <w:rFonts w:ascii="Open Sans" w:eastAsia="Open Sans" w:hAnsi="Open Sans" w:cs="Open Sans"/>
        <w:color w:val="393F58"/>
        <w:sz w:val="22"/>
        <w:szCs w:val="22"/>
      </w:rPr>
      <w:instrText>NUMPAGES</w:instrText>
    </w:r>
    <w:r>
      <w:rPr>
        <w:rFonts w:ascii="Open Sans" w:eastAsia="Open Sans" w:hAnsi="Open Sans" w:cs="Open Sans"/>
        <w:color w:val="393F58"/>
        <w:sz w:val="22"/>
        <w:szCs w:val="22"/>
      </w:rPr>
      <w:fldChar w:fldCharType="separate"/>
    </w:r>
    <w:r w:rsidR="00EE6196">
      <w:rPr>
        <w:rFonts w:ascii="Open Sans" w:eastAsia="Open Sans" w:hAnsi="Open Sans" w:cs="Open Sans"/>
        <w:noProof/>
        <w:color w:val="393F58"/>
        <w:sz w:val="22"/>
        <w:szCs w:val="22"/>
      </w:rPr>
      <w:t>2</w:t>
    </w:r>
    <w:r>
      <w:rPr>
        <w:rFonts w:ascii="Open Sans" w:eastAsia="Open Sans" w:hAnsi="Open Sans" w:cs="Open Sans"/>
        <w:color w:val="393F58"/>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E3F4" w14:textId="77777777" w:rsidR="006A04B2" w:rsidRDefault="006A04B2">
      <w:r>
        <w:separator/>
      </w:r>
    </w:p>
  </w:footnote>
  <w:footnote w:type="continuationSeparator" w:id="0">
    <w:p w14:paraId="6BD13759" w14:textId="77777777" w:rsidR="006A04B2" w:rsidRDefault="006A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C729" w14:textId="1526D8C9" w:rsidR="00EE6196" w:rsidRDefault="00EE6196" w:rsidP="00EE6196">
    <w:pPr>
      <w:pStyle w:val="NoSpacing"/>
      <w:rPr>
        <w:sz w:val="22"/>
        <w:bdr w:val="none" w:sz="0" w:space="0" w:color="auto" w:frame="1"/>
        <w:lang w:eastAsia="en-GB" w:bidi="th-TH"/>
      </w:rPr>
    </w:pPr>
    <w:r>
      <w:rPr>
        <w:noProof/>
      </w:rPr>
      <w:drawing>
        <wp:anchor distT="0" distB="0" distL="114300" distR="114300" simplePos="0" relativeHeight="251659264" behindDoc="1" locked="0" layoutInCell="1" allowOverlap="1" wp14:anchorId="5CFC3A86" wp14:editId="1FC98304">
          <wp:simplePos x="0" y="0"/>
          <wp:positionH relativeFrom="column">
            <wp:posOffset>4061460</wp:posOffset>
          </wp:positionH>
          <wp:positionV relativeFrom="paragraph">
            <wp:posOffset>-304800</wp:posOffset>
          </wp:positionV>
          <wp:extent cx="1623060" cy="495300"/>
          <wp:effectExtent l="0" t="0" r="0" b="0"/>
          <wp:wrapNone/>
          <wp:docPr id="16" name="Picture 16" descr="Graphical user interfac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10;&#10;Description automatically generated with medium confid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8CAFA0A" wp14:editId="08961940">
          <wp:simplePos x="0" y="0"/>
          <wp:positionH relativeFrom="margin">
            <wp:posOffset>1478280</wp:posOffset>
          </wp:positionH>
          <wp:positionV relativeFrom="paragraph">
            <wp:posOffset>-297180</wp:posOffset>
          </wp:positionV>
          <wp:extent cx="1623060" cy="495300"/>
          <wp:effectExtent l="0" t="0" r="0" b="0"/>
          <wp:wrapNone/>
          <wp:docPr id="17" name="Picture 17" descr="A picture containing graphical user interfac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graphical user interface&#10;&#10;Description automatically generated">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306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137E93" wp14:editId="0E5752D1">
          <wp:simplePos x="0" y="0"/>
          <wp:positionH relativeFrom="column">
            <wp:posOffset>335280</wp:posOffset>
          </wp:positionH>
          <wp:positionV relativeFrom="paragraph">
            <wp:posOffset>-350520</wp:posOffset>
          </wp:positionV>
          <wp:extent cx="601980" cy="601980"/>
          <wp:effectExtent l="0" t="0" r="7620" b="762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bdr w:val="none" w:sz="0" w:space="0" w:color="auto" w:frame="1"/>
        <w:lang w:eastAsia="en-GB" w:bidi="th-TH"/>
      </w:rPr>
      <w:tab/>
    </w:r>
    <w:r>
      <w:rPr>
        <w:sz w:val="22"/>
        <w:bdr w:val="none" w:sz="0" w:space="0" w:color="auto" w:frame="1"/>
        <w:lang w:eastAsia="en-GB" w:bidi="th-TH"/>
      </w:rPr>
      <w:tab/>
    </w:r>
  </w:p>
  <w:p w14:paraId="4AB1ADCB" w14:textId="63CAAEDB" w:rsidR="00EE6196" w:rsidRDefault="00EE6196" w:rsidP="00EE6196">
    <w:pPr>
      <w:pStyle w:val="Header"/>
      <w:rPr>
        <w:rFonts w:ascii="Helvetica" w:hAnsi="Helvetica"/>
        <w:b/>
        <w:bCs/>
        <w:sz w:val="20"/>
        <w:szCs w:val="20"/>
      </w:rPr>
    </w:pPr>
    <w:r>
      <w:rPr>
        <w:rFonts w:ascii="Helvetica" w:hAnsi="Helvetica"/>
        <w:b/>
        <w:bCs/>
        <w:sz w:val="20"/>
        <w:szCs w:val="20"/>
      </w:rPr>
      <w:tab/>
    </w:r>
  </w:p>
  <w:p w14:paraId="409273A3" w14:textId="0345C92A" w:rsidR="00EE6196" w:rsidRDefault="00EE6196" w:rsidP="00EE6196">
    <w:pPr>
      <w:pStyle w:val="Header"/>
      <w:rPr>
        <w:rFonts w:ascii="Helvetica" w:hAnsi="Helvetica"/>
        <w:b/>
        <w:bCs/>
        <w:sz w:val="20"/>
        <w:szCs w:val="20"/>
      </w:rPr>
    </w:pPr>
    <w:r>
      <w:rPr>
        <w:rFonts w:ascii="Helvetica" w:hAnsi="Helvetica"/>
        <w:b/>
        <w:bCs/>
        <w:bdr w:val="none" w:sz="0" w:space="0" w:color="auto" w:frame="1"/>
        <w:lang w:eastAsia="en-GB" w:bidi="th-TH"/>
      </w:rPr>
      <w:t>FIND A DOC APP</w:t>
    </w:r>
    <w:r>
      <w:rPr>
        <w:rFonts w:ascii="Helvetica" w:hAnsi="Helvetica"/>
        <w:b/>
        <w:bCs/>
        <w:sz w:val="20"/>
        <w:szCs w:val="20"/>
      </w:rPr>
      <w:tab/>
    </w:r>
    <w:r>
      <w:rPr>
        <w:rFonts w:ascii="Helvetica" w:hAnsi="Helvetica"/>
        <w:b/>
        <w:bCs/>
        <w:sz w:val="20"/>
        <w:szCs w:val="20"/>
      </w:rPr>
      <w:tab/>
      <w:t>MEDICLINIC SOFTWARE GERMANY GMBH</w:t>
    </w:r>
  </w:p>
  <w:p w14:paraId="4D6AFA6C" w14:textId="2696D3BD" w:rsidR="00EE6196" w:rsidRDefault="00EE6196" w:rsidP="00EE6196">
    <w:pPr>
      <w:pStyle w:val="Header"/>
      <w:rPr>
        <w:rFonts w:ascii="Helvetica" w:hAnsi="Helvetica"/>
        <w:b/>
        <w:bCs/>
        <w:sz w:val="20"/>
        <w:szCs w:val="20"/>
      </w:rPr>
    </w:pPr>
    <w:r>
      <w:rPr>
        <w:rFonts w:ascii="Helvetica" w:hAnsi="Helvetica" w:cs="ArialMT"/>
        <w:b/>
        <w:bCs/>
        <w:sz w:val="20"/>
        <w:szCs w:val="20"/>
      </w:rPr>
      <w:tab/>
    </w:r>
    <w:r>
      <w:rPr>
        <w:rFonts w:ascii="Helvetica" w:hAnsi="Helvetica" w:cs="ArialMT"/>
        <w:b/>
        <w:bCs/>
        <w:sz w:val="20"/>
        <w:szCs w:val="20"/>
      </w:rPr>
      <w:tab/>
      <w:t>Schönhauser</w:t>
    </w:r>
    <w:r>
      <w:rPr>
        <w:rFonts w:ascii="Helvetica" w:hAnsi="Helvetica" w:cs="ArialMT"/>
        <w:sz w:val="20"/>
        <w:szCs w:val="20"/>
      </w:rPr>
      <w:t xml:space="preserve"> Allee 163, 10435 Berlin GERMANY</w:t>
    </w:r>
  </w:p>
  <w:p w14:paraId="1C15E2A5" w14:textId="77777777" w:rsidR="00EE6196" w:rsidRDefault="00EE6196" w:rsidP="00EE6196">
    <w:pPr>
      <w:pStyle w:val="NoSpacing"/>
      <w:ind w:left="5040" w:firstLine="720"/>
      <w:rPr>
        <w:rFonts w:ascii="Helvetica" w:hAnsi="Helvetica"/>
        <w:sz w:val="20"/>
        <w:szCs w:val="20"/>
      </w:rPr>
    </w:pPr>
    <w:r>
      <w:rPr>
        <w:rFonts w:ascii="Helvetica" w:hAnsi="Helvetica"/>
        <w:b/>
        <w:bCs/>
        <w:sz w:val="20"/>
        <w:szCs w:val="20"/>
      </w:rPr>
      <w:t xml:space="preserve">TEL: </w:t>
    </w:r>
    <w:bookmarkStart w:id="2" w:name="_Hlk119227506"/>
    <w:r>
      <w:fldChar w:fldCharType="begin"/>
    </w:r>
    <w:r>
      <w:instrText xml:space="preserve"> HYPERLINK "mailto:4969257377482" </w:instrText>
    </w:r>
    <w:r>
      <w:fldChar w:fldCharType="separate"/>
    </w:r>
    <w:r>
      <w:rPr>
        <w:rStyle w:val="Hyperlink"/>
        <w:rFonts w:ascii="Helvetica" w:hAnsi="Helvetica"/>
        <w:b/>
        <w:bCs/>
        <w:sz w:val="20"/>
        <w:szCs w:val="20"/>
      </w:rPr>
      <w:t xml:space="preserve">+49 3020 200 019 </w:t>
    </w:r>
    <w:r>
      <w:fldChar w:fldCharType="end"/>
    </w:r>
    <w:bookmarkEnd w:id="2"/>
  </w:p>
  <w:p w14:paraId="0EA48C84" w14:textId="77777777" w:rsidR="00EE6196" w:rsidRDefault="00EE6196" w:rsidP="00EE6196">
    <w:pPr>
      <w:pStyle w:val="NoSpacing"/>
      <w:ind w:left="5040" w:firstLine="720"/>
      <w:rPr>
        <w:rFonts w:ascii="Helvetica" w:hAnsi="Helvetica"/>
        <w:sz w:val="20"/>
        <w:szCs w:val="20"/>
      </w:rPr>
    </w:pPr>
    <w:r>
      <w:rPr>
        <w:rFonts w:ascii="Helvetica" w:hAnsi="Helvetica"/>
        <w:b/>
        <w:bCs/>
        <w:sz w:val="20"/>
        <w:szCs w:val="20"/>
      </w:rPr>
      <w:t>Web</w:t>
    </w:r>
    <w:r>
      <w:rPr>
        <w:rFonts w:ascii="Helvetica" w:hAnsi="Helvetica"/>
        <w:sz w:val="20"/>
        <w:szCs w:val="20"/>
      </w:rPr>
      <w:t xml:space="preserve">:   </w:t>
    </w:r>
    <w:hyperlink r:id="rId6" w:history="1">
      <w:r>
        <w:rPr>
          <w:rStyle w:val="Hyperlink"/>
          <w:rFonts w:ascii="Helvetica" w:hAnsi="Helvetica"/>
          <w:sz w:val="20"/>
          <w:szCs w:val="20"/>
        </w:rPr>
        <w:t>http://mediclinicsoftware.de</w:t>
      </w:r>
    </w:hyperlink>
  </w:p>
  <w:p w14:paraId="00000107" w14:textId="627DA4FE" w:rsidR="007B7456" w:rsidRDefault="00EE6196" w:rsidP="00EE6196">
    <w:pPr>
      <w:pStyle w:val="NoSpacing"/>
      <w:ind w:left="5040" w:firstLine="720"/>
      <w:rPr>
        <w:rFonts w:ascii="Helvetica" w:hAnsi="Helvetica"/>
        <w:noProof/>
        <w:sz w:val="20"/>
        <w:szCs w:val="20"/>
      </w:rPr>
    </w:pPr>
    <w:r>
      <w:rPr>
        <w:rFonts w:ascii="Helvetica" w:hAnsi="Helvetica"/>
        <w:b/>
        <w:bCs/>
        <w:noProof/>
        <w:sz w:val="20"/>
        <w:szCs w:val="20"/>
      </w:rPr>
      <w:t>Email</w:t>
    </w:r>
    <w:r>
      <w:rPr>
        <w:rFonts w:ascii="Helvetica" w:hAnsi="Helvetica"/>
        <w:noProof/>
        <w:sz w:val="20"/>
        <w:szCs w:val="20"/>
      </w:rPr>
      <w:t xml:space="preserve">: </w:t>
    </w:r>
    <w:hyperlink r:id="rId7" w:history="1">
      <w:r w:rsidR="00E50511" w:rsidRPr="00F50B86">
        <w:rPr>
          <w:rStyle w:val="Hyperlink"/>
          <w:rFonts w:ascii="Helvetica" w:hAnsi="Helvetica"/>
          <w:noProof/>
          <w:sz w:val="20"/>
          <w:szCs w:val="20"/>
        </w:rPr>
        <w:t>info@mediclinicsoftware.de</w:t>
      </w:r>
    </w:hyperlink>
  </w:p>
  <w:p w14:paraId="085DA23F" w14:textId="77777777" w:rsidR="00E50511" w:rsidRPr="00EE6196" w:rsidRDefault="00E50511" w:rsidP="00EE6196">
    <w:pPr>
      <w:pStyle w:val="NoSpacing"/>
      <w:ind w:left="5040" w:firstLine="720"/>
      <w:rPr>
        <w:noProof/>
        <w:color w:val="0000F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AA2"/>
    <w:multiLevelType w:val="multilevel"/>
    <w:tmpl w:val="DCB6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24ADC"/>
    <w:multiLevelType w:val="multilevel"/>
    <w:tmpl w:val="17AE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D4436"/>
    <w:multiLevelType w:val="multilevel"/>
    <w:tmpl w:val="114A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AF35A1"/>
    <w:multiLevelType w:val="multilevel"/>
    <w:tmpl w:val="1E32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B54786"/>
    <w:multiLevelType w:val="multilevel"/>
    <w:tmpl w:val="66B0F1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CE049B"/>
    <w:multiLevelType w:val="multilevel"/>
    <w:tmpl w:val="B9CA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42041"/>
    <w:multiLevelType w:val="multilevel"/>
    <w:tmpl w:val="40881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860E53"/>
    <w:multiLevelType w:val="multilevel"/>
    <w:tmpl w:val="83443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1B7EF8"/>
    <w:multiLevelType w:val="multilevel"/>
    <w:tmpl w:val="6A025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3D7553"/>
    <w:multiLevelType w:val="multilevel"/>
    <w:tmpl w:val="9E465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BE75FA"/>
    <w:multiLevelType w:val="multilevel"/>
    <w:tmpl w:val="9CCEF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E7465"/>
    <w:multiLevelType w:val="multilevel"/>
    <w:tmpl w:val="14D45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D54F06"/>
    <w:multiLevelType w:val="multilevel"/>
    <w:tmpl w:val="9E56E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E05031"/>
    <w:multiLevelType w:val="multilevel"/>
    <w:tmpl w:val="4AD8A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7656945">
    <w:abstractNumId w:val="10"/>
  </w:num>
  <w:num w:numId="2" w16cid:durableId="295717901">
    <w:abstractNumId w:val="7"/>
  </w:num>
  <w:num w:numId="3" w16cid:durableId="793209292">
    <w:abstractNumId w:val="12"/>
  </w:num>
  <w:num w:numId="4" w16cid:durableId="1956592719">
    <w:abstractNumId w:val="9"/>
  </w:num>
  <w:num w:numId="5" w16cid:durableId="1826168742">
    <w:abstractNumId w:val="6"/>
  </w:num>
  <w:num w:numId="6" w16cid:durableId="2089188933">
    <w:abstractNumId w:val="2"/>
  </w:num>
  <w:num w:numId="7" w16cid:durableId="577593053">
    <w:abstractNumId w:val="8"/>
  </w:num>
  <w:num w:numId="8" w16cid:durableId="746996842">
    <w:abstractNumId w:val="1"/>
  </w:num>
  <w:num w:numId="9" w16cid:durableId="289014481">
    <w:abstractNumId w:val="13"/>
  </w:num>
  <w:num w:numId="10" w16cid:durableId="1439520725">
    <w:abstractNumId w:val="0"/>
  </w:num>
  <w:num w:numId="11" w16cid:durableId="1934388475">
    <w:abstractNumId w:val="5"/>
  </w:num>
  <w:num w:numId="12" w16cid:durableId="593514000">
    <w:abstractNumId w:val="3"/>
  </w:num>
  <w:num w:numId="13" w16cid:durableId="790826030">
    <w:abstractNumId w:val="11"/>
  </w:num>
  <w:num w:numId="14" w16cid:durableId="791633546">
    <w:abstractNumId w:val="4"/>
  </w:num>
  <w:num w:numId="15" w16cid:durableId="512885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83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0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337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0530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680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786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48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868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4009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38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56"/>
    <w:rsid w:val="000862A7"/>
    <w:rsid w:val="003754BA"/>
    <w:rsid w:val="006A04B2"/>
    <w:rsid w:val="007A039E"/>
    <w:rsid w:val="007B7456"/>
    <w:rsid w:val="009C5243"/>
    <w:rsid w:val="00AD79BB"/>
    <w:rsid w:val="00AE2FD7"/>
    <w:rsid w:val="00B3197F"/>
    <w:rsid w:val="00E50511"/>
    <w:rsid w:val="00E92CEE"/>
    <w:rsid w:val="00EE6196"/>
    <w:rsid w:val="00F424F0"/>
    <w:rsid w:val="00FC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F6463"/>
  <w15:docId w15:val="{5DF317D2-397A-458A-8A91-3EA99B98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after="400" w:line="260" w:lineRule="auto"/>
      <w:outlineLvl w:val="1"/>
    </w:pPr>
    <w:rPr>
      <w:rFonts w:ascii="Open Sans" w:eastAsia="Open Sans" w:hAnsi="Open Sans" w:cs="Open Sans"/>
      <w:b/>
      <w:color w:val="2A324C"/>
      <w:sz w:val="46"/>
      <w:szCs w:val="4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spacing w:before="350" w:after="350" w:line="250" w:lineRule="auto"/>
    </w:pPr>
    <w:rPr>
      <w:rFonts w:ascii="Open Sans" w:eastAsia="Open Sans" w:hAnsi="Open Sans" w:cs="Open Sans"/>
      <w:b/>
      <w:bCs/>
      <w:color w:val="2A324C"/>
      <w:sz w:val="80"/>
      <w:szCs w:val="80"/>
      <w:u w:color="2A324C"/>
      <w:lang w:val="de-DE"/>
      <w14:textOutline w14:w="0" w14:cap="flat" w14:cmpd="sng" w14:algn="ctr">
        <w14:noFill/>
        <w14:prstDash w14:val="solid"/>
        <w14:bevel/>
      </w14:textOutline>
    </w:rPr>
  </w:style>
  <w:style w:type="character" w:styleId="Hyperlink">
    <w:name w:val="Hyperlink"/>
    <w:rPr>
      <w:u w:val="single"/>
    </w:rPr>
  </w:style>
  <w:style w:type="paragraph" w:customStyle="1" w:styleId="Body">
    <w:name w:val="Body"/>
    <w:pPr>
      <w:spacing w:before="400" w:after="400" w:line="260" w:lineRule="auto"/>
    </w:pPr>
    <w:rPr>
      <w:rFonts w:ascii="Open Sans" w:eastAsia="Open Sans" w:hAnsi="Open Sans" w:cs="Open Sans"/>
      <w:color w:val="393F58"/>
      <w:sz w:val="28"/>
      <w:szCs w:val="28"/>
      <w:u w:color="393F58"/>
      <w14:textOutline w14:w="0" w14:cap="flat" w14:cmpd="sng" w14:algn="ctr">
        <w14:noFill/>
        <w14:prstDash w14:val="solid"/>
        <w14:bevel/>
      </w14:textOutline>
    </w:rPr>
  </w:style>
  <w:style w:type="paragraph" w:customStyle="1" w:styleId="Heading">
    <w:name w:val="Heading"/>
    <w:next w:val="Body"/>
    <w:pPr>
      <w:spacing w:before="400" w:after="400" w:line="260" w:lineRule="auto"/>
      <w:outlineLvl w:val="0"/>
    </w:pPr>
    <w:rPr>
      <w:rFonts w:ascii="Open Sans" w:eastAsia="Open Sans" w:hAnsi="Open Sans" w:cs="Open Sans"/>
      <w:b/>
      <w:bCs/>
      <w:color w:val="53A983"/>
      <w:sz w:val="56"/>
      <w:szCs w:val="56"/>
      <w:u w:color="53A983"/>
      <w:lang w:val="de-DE"/>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numbering" w:customStyle="1" w:styleId="ImportedStyle10">
    <w:name w:val="Imported Style 10"/>
  </w:style>
  <w:style w:type="numbering" w:customStyle="1" w:styleId="ImportedStyle11">
    <w:name w:val="Imported Style 11"/>
  </w:style>
  <w:style w:type="numbering" w:customStyle="1" w:styleId="ImportedStyle12">
    <w:name w:val="Imported Style 12"/>
  </w:style>
  <w:style w:type="numbering" w:customStyle="1" w:styleId="ImportedStyle13">
    <w:name w:val="Imported Style 13"/>
  </w:style>
  <w:style w:type="numbering" w:customStyle="1" w:styleId="ImportedStyle14">
    <w:name w:val="Imported Style 14"/>
  </w:style>
  <w:style w:type="numbering" w:customStyle="1" w:styleId="ImportedStyle15">
    <w:name w:val="Imported Style 15"/>
  </w:style>
  <w:style w:type="numbering" w:customStyle="1" w:styleId="ImportedStyle16">
    <w:name w:val="Imported Style 16"/>
  </w:style>
  <w:style w:type="numbering" w:customStyle="1" w:styleId="ImportedStyle17">
    <w:name w:val="Imported Style 17"/>
  </w:style>
  <w:style w:type="numbering" w:customStyle="1" w:styleId="ImportedStyle18">
    <w:name w:val="Imported Style 18"/>
  </w:style>
  <w:style w:type="numbering" w:customStyle="1" w:styleId="ImportedStyle19">
    <w:name w:val="Imported Style 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E6196"/>
    <w:pPr>
      <w:tabs>
        <w:tab w:val="center" w:pos="4513"/>
        <w:tab w:val="right" w:pos="9026"/>
      </w:tabs>
    </w:pPr>
  </w:style>
  <w:style w:type="character" w:customStyle="1" w:styleId="HeaderChar">
    <w:name w:val="Header Char"/>
    <w:basedOn w:val="DefaultParagraphFont"/>
    <w:link w:val="Header"/>
    <w:uiPriority w:val="99"/>
    <w:rsid w:val="00EE6196"/>
    <w:rPr>
      <w:lang w:eastAsia="en-US"/>
    </w:rPr>
  </w:style>
  <w:style w:type="paragraph" w:styleId="Footer">
    <w:name w:val="footer"/>
    <w:basedOn w:val="Normal"/>
    <w:link w:val="FooterChar"/>
    <w:uiPriority w:val="99"/>
    <w:unhideWhenUsed/>
    <w:rsid w:val="00EE6196"/>
    <w:pPr>
      <w:tabs>
        <w:tab w:val="center" w:pos="4513"/>
        <w:tab w:val="right" w:pos="9026"/>
      </w:tabs>
    </w:pPr>
  </w:style>
  <w:style w:type="character" w:customStyle="1" w:styleId="FooterChar">
    <w:name w:val="Footer Char"/>
    <w:basedOn w:val="DefaultParagraphFont"/>
    <w:link w:val="Footer"/>
    <w:uiPriority w:val="99"/>
    <w:rsid w:val="00EE6196"/>
    <w:rPr>
      <w:lang w:eastAsia="en-US"/>
    </w:rPr>
  </w:style>
  <w:style w:type="paragraph" w:styleId="NoSpacing">
    <w:name w:val="No Spacing"/>
    <w:uiPriority w:val="1"/>
    <w:qFormat/>
    <w:rsid w:val="00EE6196"/>
    <w:rPr>
      <w:rFonts w:ascii="Open Sans" w:eastAsia="Open Sans" w:hAnsi="Open Sans" w:cs="Open Sans"/>
      <w:color w:val="393F58"/>
      <w:sz w:val="28"/>
      <w:szCs w:val="28"/>
      <w:lang w:val="en-AU"/>
    </w:rPr>
  </w:style>
  <w:style w:type="character" w:styleId="UnresolvedMention">
    <w:name w:val="Unresolved Mention"/>
    <w:basedOn w:val="DefaultParagraphFont"/>
    <w:uiPriority w:val="99"/>
    <w:semiHidden/>
    <w:unhideWhenUsed/>
    <w:rsid w:val="00E5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heydata.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lay.google.com/store/apps/details?id=com.au.mediclinic.mobile&amp;gl=AU" TargetMode="External"/><Relationship Id="rId7" Type="http://schemas.openxmlformats.org/officeDocument/2006/relationships/hyperlink" Target="mailto:info@mediclinicsoftware.de" TargetMode="External"/><Relationship Id="rId2" Type="http://schemas.openxmlformats.org/officeDocument/2006/relationships/image" Target="media/image1.png"/><Relationship Id="rId1" Type="http://schemas.openxmlformats.org/officeDocument/2006/relationships/hyperlink" Target="https://apps.apple.com/app/find-a-doc/id1473280040" TargetMode="External"/><Relationship Id="rId6" Type="http://schemas.openxmlformats.org/officeDocument/2006/relationships/hyperlink" Target="http://mediclinicsoftware.de" TargetMode="External"/><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Open Sans"/>
        <a:ea typeface="Open Sans"/>
        <a:cs typeface="Open San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DMhwGR8R1FYkDxvT2dIisb/v9w==">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1AA05-CD36-4A5E-B0E9-AD0B49DD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Nikko Laurenciana MEDICLINIC SOFTWARE</cp:lastModifiedBy>
  <cp:revision>10</cp:revision>
  <dcterms:created xsi:type="dcterms:W3CDTF">2023-02-15T11:37:00Z</dcterms:created>
  <dcterms:modified xsi:type="dcterms:W3CDTF">2023-02-28T21:38:00Z</dcterms:modified>
</cp:coreProperties>
</file>